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3EDB5" w14:textId="77777777" w:rsidR="00E75E2A" w:rsidRDefault="00000000">
      <w:pPr>
        <w:keepLines/>
        <w:spacing w:after="40" w:line="240" w:lineRule="auto"/>
        <w:jc w:val="center"/>
      </w:pPr>
      <w:r>
        <w:rPr>
          <w:b/>
          <w:color w:val="7A1F23"/>
          <w:sz w:val="18"/>
        </w:rPr>
        <w:t>BOOK PRESENTATION</w:t>
      </w:r>
    </w:p>
    <w:p w14:paraId="5AE32A7E" w14:textId="77777777" w:rsidR="00E75E2A" w:rsidRDefault="00000000">
      <w:pPr>
        <w:keepLines/>
        <w:spacing w:after="20" w:line="228" w:lineRule="auto"/>
        <w:jc w:val="center"/>
      </w:pPr>
      <w:r>
        <w:rPr>
          <w:rFonts w:ascii="Aptos Display" w:hAnsi="Aptos Display"/>
          <w:b/>
          <w:color w:val="242424"/>
          <w:sz w:val="54"/>
        </w:rPr>
        <w:t>CONSPIRACY TO COMMIT</w:t>
      </w:r>
      <w:r>
        <w:rPr>
          <w:rFonts w:ascii="Aptos Display" w:hAnsi="Aptos Display"/>
          <w:b/>
          <w:color w:val="242424"/>
          <w:sz w:val="54"/>
        </w:rPr>
        <w:br/>
        <w:t>MASS MURDER</w:t>
      </w:r>
    </w:p>
    <w:p w14:paraId="57E219C9" w14:textId="77777777" w:rsidR="00E75E2A" w:rsidRDefault="00000000">
      <w:pPr>
        <w:keepLines/>
        <w:spacing w:after="140" w:line="240" w:lineRule="auto"/>
        <w:jc w:val="center"/>
      </w:pPr>
      <w:r>
        <w:rPr>
          <w:rFonts w:ascii="Georgia" w:hAnsi="Georgia"/>
          <w:i/>
          <w:color w:val="7A1F23"/>
          <w:sz w:val="29"/>
        </w:rPr>
        <w:t>Dublin and Monaghan Car Bombs, 17 May 1974</w:t>
      </w:r>
    </w:p>
    <w:p w14:paraId="18041115" w14:textId="77777777" w:rsidR="00E75E2A" w:rsidRDefault="00000000">
      <w:pPr>
        <w:keepLines/>
        <w:spacing w:after="140" w:line="240" w:lineRule="auto"/>
        <w:jc w:val="center"/>
      </w:pPr>
      <w:r>
        <w:rPr>
          <w:b/>
          <w:color w:val="5D5D5D"/>
          <w:sz w:val="21"/>
        </w:rPr>
        <w:t>JOHN O’BRIEN</w:t>
      </w:r>
    </w:p>
    <w:p w14:paraId="6F101D08" w14:textId="77777777" w:rsidR="00E75E2A" w:rsidRDefault="00000000">
      <w:pPr>
        <w:keepLines/>
        <w:spacing w:after="160" w:line="240" w:lineRule="auto"/>
        <w:jc w:val="center"/>
      </w:pPr>
      <w:r>
        <w:rPr>
          <w:color w:val="242424"/>
          <w:sz w:val="22"/>
        </w:rPr>
        <w:t>The deadliest day of the Troubles. More than half a century of unanswered questions.</w:t>
      </w:r>
      <w:r>
        <w:rPr>
          <w:color w:val="242424"/>
          <w:sz w:val="22"/>
        </w:rPr>
        <w:br/>
        <w:t>A former senior detective follows the evidence, challenges accepted explanations and asks why the full truth remains out of reach.</w:t>
      </w:r>
    </w:p>
    <w:p w14:paraId="5836A3E8" w14:textId="684229C1" w:rsidR="00E75E2A" w:rsidRDefault="00195A65">
      <w:pPr>
        <w:keepLines/>
        <w:spacing w:after="140" w:line="240" w:lineRule="auto"/>
        <w:jc w:val="center"/>
      </w:pPr>
      <w:r>
        <w:rPr>
          <w:noProof/>
        </w:rPr>
        <mc:AlternateContent>
          <mc:Choice Requires="wps">
            <w:drawing>
              <wp:anchor distT="0" distB="0" distL="114300" distR="114300" simplePos="0" relativeHeight="251659264" behindDoc="0" locked="0" layoutInCell="1" allowOverlap="1" wp14:anchorId="4D48B238" wp14:editId="7448ADF5">
                <wp:simplePos x="0" y="0"/>
                <wp:positionH relativeFrom="column">
                  <wp:posOffset>3395464</wp:posOffset>
                </wp:positionH>
                <wp:positionV relativeFrom="paragraph">
                  <wp:posOffset>88393</wp:posOffset>
                </wp:positionV>
                <wp:extent cx="2946802" cy="619432"/>
                <wp:effectExtent l="0" t="0" r="12700" b="15875"/>
                <wp:wrapNone/>
                <wp:docPr id="423096006" name="Text Box 1"/>
                <wp:cNvGraphicFramePr/>
                <a:graphic xmlns:a="http://schemas.openxmlformats.org/drawingml/2006/main">
                  <a:graphicData uri="http://schemas.microsoft.com/office/word/2010/wordprocessingShape">
                    <wps:wsp>
                      <wps:cNvSpPr txBox="1"/>
                      <wps:spPr>
                        <a:xfrm>
                          <a:off x="0" y="0"/>
                          <a:ext cx="2946802" cy="619432"/>
                        </a:xfrm>
                        <a:prstGeom prst="rect">
                          <a:avLst/>
                        </a:prstGeom>
                        <a:solidFill>
                          <a:schemeClr val="lt1"/>
                        </a:solidFill>
                        <a:ln w="6350">
                          <a:solidFill>
                            <a:prstClr val="black"/>
                          </a:solidFill>
                        </a:ln>
                      </wps:spPr>
                      <wps:txbx>
                        <w:txbxContent>
                          <w:p w14:paraId="30E76670" w14:textId="2EFB1207" w:rsidR="00195A65" w:rsidRPr="00195A65" w:rsidRDefault="00195A65" w:rsidP="00D01C05">
                            <w:pPr>
                              <w:jc w:val="center"/>
                              <w:rPr>
                                <w:lang w:val="en-IE"/>
                              </w:rPr>
                            </w:pPr>
                            <w:r>
                              <w:rPr>
                                <w:lang w:val="en-IE"/>
                              </w:rPr>
                              <w:t>PARNELL STREET – ENTIRE O’BRIEN FAMILY AND SIX OTHER INNOCENTS KILLED</w:t>
                            </w:r>
                            <w:r w:rsidR="00D01C05">
                              <w:rPr>
                                <w:lang w:val="en-IE"/>
                              </w:rPr>
                              <w:t xml:space="preserve"> – THIRTY FOUR </w:t>
                            </w:r>
                            <w:r w:rsidR="00002555">
                              <w:rPr>
                                <w:lang w:val="en-IE"/>
                              </w:rPr>
                              <w:t xml:space="preserve">HUMAN BEINGS </w:t>
                            </w:r>
                            <w:r w:rsidR="00D01C05">
                              <w:rPr>
                                <w:lang w:val="en-IE"/>
                              </w:rPr>
                              <w:t xml:space="preserve">WERE KILLED </w:t>
                            </w:r>
                            <w:r w:rsidR="00002555">
                              <w:rPr>
                                <w:lang w:val="en-IE"/>
                              </w:rPr>
                              <w:t xml:space="preserve"> THAT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48B238" id="_x0000_t202" coordsize="21600,21600" o:spt="202" path="m,l,21600r21600,l21600,xe">
                <v:stroke joinstyle="miter"/>
                <v:path gradientshapeok="t" o:connecttype="rect"/>
              </v:shapetype>
              <v:shape id="Text Box 1" o:spid="_x0000_s1026" type="#_x0000_t202" style="position:absolute;left:0;text-align:left;margin-left:267.35pt;margin-top:6.95pt;width:232.0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" fillcolor="white [3201]" strokeweight=".5pt">
                <v:textbox>
                  <w:txbxContent>
                    <w:p w14:paraId="30E76670" w14:textId="2EFB1207" w:rsidR="00195A65" w:rsidRPr="00195A65" w:rsidRDefault="00195A65" w:rsidP="00D01C05">
                      <w:pPr>
                        <w:jc w:val="center"/>
                        <w:rPr>
                          <w:lang w:val="en-IE"/>
                        </w:rPr>
                      </w:pPr>
                      <w:r>
                        <w:rPr>
                          <w:lang w:val="en-IE"/>
                        </w:rPr>
                        <w:t>PARNELL STREET – ENTIRE O’BRIEN FAMILY AND SIX OTHER INNOCENTS KILLED</w:t>
                      </w:r>
                      <w:r w:rsidR="00D01C05">
                        <w:rPr>
                          <w:lang w:val="en-IE"/>
                        </w:rPr>
                        <w:t xml:space="preserve"> – THIRTY FOUR </w:t>
                      </w:r>
                      <w:r w:rsidR="00002555">
                        <w:rPr>
                          <w:lang w:val="en-IE"/>
                        </w:rPr>
                        <w:t xml:space="preserve">HUMAN BEINGS </w:t>
                      </w:r>
                      <w:r w:rsidR="00D01C05">
                        <w:rPr>
                          <w:lang w:val="en-IE"/>
                        </w:rPr>
                        <w:t xml:space="preserve">WERE KILLED </w:t>
                      </w:r>
                      <w:r w:rsidR="00002555">
                        <w:rPr>
                          <w:lang w:val="en-IE"/>
                        </w:rPr>
                        <w:t xml:space="preserve"> THAT DAY</w:t>
                      </w:r>
                    </w:p>
                  </w:txbxContent>
                </v:textbox>
              </v:shape>
            </w:pict>
          </mc:Fallback>
        </mc:AlternateContent>
      </w:r>
      <w:r>
        <w:rPr>
          <w:noProof/>
        </w:rPr>
        <w:drawing>
          <wp:inline distT="0" distB="0" distL="0" distR="0" wp14:anchorId="6D1B13DC" wp14:editId="1FCFC015">
            <wp:extent cx="6426000" cy="2733941"/>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isher_pitch_header.png"/>
                    <pic:cNvPicPr/>
                  </pic:nvPicPr>
                  <pic:blipFill>
                    <a:blip r:embed="rId8"/>
                    <a:stretch>
                      <a:fillRect/>
                    </a:stretch>
                  </pic:blipFill>
                  <pic:spPr>
                    <a:xfrm>
                      <a:off x="0" y="0"/>
                      <a:ext cx="6426000" cy="2733941"/>
                    </a:xfrm>
                    <a:prstGeom prst="rect">
                      <a:avLst/>
                    </a:prstGeom>
                  </pic:spPr>
                </pic:pic>
              </a:graphicData>
            </a:graphic>
          </wp:inline>
        </w:drawing>
      </w:r>
    </w:p>
    <w:tbl>
      <w:tblPr>
        <w:tblW w:w="0" w:type="auto"/>
        <w:jc w:val="center"/>
        <w:tblLook w:val="04A0" w:firstRow="1" w:lastRow="0" w:firstColumn="1" w:lastColumn="0" w:noHBand="0" w:noVBand="1"/>
      </w:tblPr>
      <w:tblGrid>
        <w:gridCol w:w="10148"/>
      </w:tblGrid>
      <w:tr w:rsidR="00E75E2A" w14:paraId="43BB502D" w14:textId="77777777">
        <w:trPr>
          <w:cantSplit/>
          <w:jc w:val="center"/>
        </w:trPr>
        <w:tc>
          <w:tcPr>
            <w:tcW w:w="10148" w:type="dxa"/>
            <w:shd w:val="clear" w:color="auto" w:fill="242424"/>
            <w:tcMar>
              <w:top w:w="140" w:type="dxa"/>
              <w:left w:w="220" w:type="dxa"/>
              <w:bottom w:w="135" w:type="dxa"/>
              <w:right w:w="220" w:type="dxa"/>
            </w:tcMar>
          </w:tcPr>
          <w:p w14:paraId="433AD99E" w14:textId="40198FF0" w:rsidR="00E75E2A" w:rsidRDefault="00000000">
            <w:pPr>
              <w:keepLines/>
              <w:spacing w:after="0" w:line="259" w:lineRule="auto"/>
            </w:pPr>
            <w:r w:rsidRPr="00D01C05">
              <w:rPr>
                <w:color w:val="FFFFFF"/>
                <w:sz w:val="32"/>
                <w:szCs w:val="40"/>
              </w:rPr>
              <w:t xml:space="preserve">A compelling work of investigative history that reconstructs the political crisis, operational planning and institutional aftermath of the </w:t>
            </w:r>
            <w:r w:rsidR="0062404E">
              <w:rPr>
                <w:color w:val="FFFFFF"/>
                <w:sz w:val="32"/>
                <w:szCs w:val="40"/>
              </w:rPr>
              <w:t xml:space="preserve">Thirty Four </w:t>
            </w:r>
            <w:r w:rsidRPr="00D01C05">
              <w:rPr>
                <w:color w:val="FFFFFF"/>
                <w:sz w:val="32"/>
                <w:szCs w:val="40"/>
              </w:rPr>
              <w:t>Dublin and Monaghan mass murders. It asks who had the capability to carry out the attacks, what the security and intelligence system knew, and why the full truth has remained hidden for more than fifty years.</w:t>
            </w:r>
          </w:p>
        </w:tc>
      </w:tr>
    </w:tbl>
    <w:p w14:paraId="3675BB73" w14:textId="77777777" w:rsidR="00D01C05" w:rsidRDefault="00D01C05">
      <w:pPr>
        <w:keepLines/>
        <w:spacing w:before="140" w:line="240" w:lineRule="auto"/>
        <w:jc w:val="center"/>
        <w:rPr>
          <w:b/>
          <w:color w:val="7A1F23"/>
          <w:sz w:val="17"/>
        </w:rPr>
      </w:pPr>
    </w:p>
    <w:p w14:paraId="6EA1D374" w14:textId="77777777" w:rsidR="00D01C05" w:rsidRPr="00D01C05" w:rsidRDefault="00D01C05">
      <w:pPr>
        <w:keepLines/>
        <w:spacing w:before="140" w:line="240" w:lineRule="auto"/>
        <w:jc w:val="center"/>
        <w:rPr>
          <w:b/>
          <w:color w:val="7A1F23"/>
          <w:sz w:val="32"/>
          <w:szCs w:val="48"/>
        </w:rPr>
      </w:pPr>
    </w:p>
    <w:p w14:paraId="03FF96A8" w14:textId="73E28031" w:rsidR="00E75E2A" w:rsidRPr="00D01C05" w:rsidRDefault="00000000">
      <w:pPr>
        <w:keepLines/>
        <w:spacing w:before="140" w:line="240" w:lineRule="auto"/>
        <w:jc w:val="center"/>
        <w:rPr>
          <w:sz w:val="40"/>
          <w:szCs w:val="48"/>
        </w:rPr>
      </w:pPr>
      <w:r w:rsidRPr="00D01C05">
        <w:rPr>
          <w:b/>
          <w:color w:val="7A1F23"/>
          <w:sz w:val="32"/>
          <w:szCs w:val="48"/>
        </w:rPr>
        <w:t>IRISH HISTORY   •   POLITICS   •   CRIME   •   STATE ACCOUNTABILITY</w:t>
      </w:r>
    </w:p>
    <w:tbl>
      <w:tblPr>
        <w:tblpPr w:leftFromText="180" w:rightFromText="180" w:vertAnchor="text" w:horzAnchor="margin" w:tblpY="765"/>
        <w:tblW w:w="0" w:type="auto"/>
        <w:tblLayout w:type="fixed"/>
        <w:tblLook w:val="04A0" w:firstRow="1" w:lastRow="0" w:firstColumn="1" w:lastColumn="0" w:noHBand="0" w:noVBand="1"/>
      </w:tblPr>
      <w:tblGrid>
        <w:gridCol w:w="2494"/>
        <w:gridCol w:w="2494"/>
        <w:gridCol w:w="2494"/>
        <w:gridCol w:w="2494"/>
      </w:tblGrid>
      <w:tr w:rsidR="00D01C05" w14:paraId="44B69278" w14:textId="77777777" w:rsidTr="00D01C05">
        <w:trPr>
          <w:cantSplit/>
        </w:trPr>
        <w:tc>
          <w:tcPr>
            <w:tcW w:w="2494" w:type="dxa"/>
            <w:tcBorders>
              <w:top w:val="single" w:sz="4" w:space="0" w:color="D8D0C4"/>
              <w:left w:val="single" w:sz="4" w:space="0" w:color="D8D0C4"/>
              <w:bottom w:val="single" w:sz="4" w:space="0" w:color="D8D0C4"/>
              <w:right w:val="single" w:sz="4" w:space="0" w:color="D8D0C4"/>
            </w:tcBorders>
            <w:shd w:val="clear" w:color="auto" w:fill="F3EFE7"/>
            <w:tcMar>
              <w:top w:w="85" w:type="dxa"/>
              <w:left w:w="70" w:type="dxa"/>
              <w:bottom w:w="80" w:type="dxa"/>
              <w:right w:w="70" w:type="dxa"/>
            </w:tcMar>
          </w:tcPr>
          <w:p w14:paraId="347E2104" w14:textId="77777777" w:rsidR="00D01C05" w:rsidRPr="00D01C05" w:rsidRDefault="00D01C05" w:rsidP="00D01C05">
            <w:pPr>
              <w:keepLines/>
              <w:spacing w:after="20" w:line="240" w:lineRule="auto"/>
              <w:jc w:val="center"/>
              <w:rPr>
                <w:sz w:val="32"/>
                <w:szCs w:val="48"/>
              </w:rPr>
            </w:pPr>
            <w:r w:rsidRPr="00D01C05">
              <w:rPr>
                <w:b/>
                <w:color w:val="7A1F23"/>
                <w:sz w:val="32"/>
                <w:szCs w:val="48"/>
              </w:rPr>
              <w:t>COMPLETE</w:t>
            </w:r>
          </w:p>
          <w:p w14:paraId="65C5571D" w14:textId="77777777" w:rsidR="00D01C05" w:rsidRPr="00D01C05" w:rsidRDefault="00D01C05" w:rsidP="00D01C05">
            <w:pPr>
              <w:keepLines/>
              <w:spacing w:after="0" w:line="240" w:lineRule="auto"/>
              <w:jc w:val="center"/>
              <w:rPr>
                <w:sz w:val="32"/>
                <w:szCs w:val="48"/>
              </w:rPr>
            </w:pPr>
            <w:r w:rsidRPr="00D01C05">
              <w:rPr>
                <w:color w:val="242424"/>
                <w:sz w:val="32"/>
                <w:szCs w:val="48"/>
              </w:rPr>
              <w:t>335-page account</w:t>
            </w:r>
          </w:p>
        </w:tc>
        <w:tc>
          <w:tcPr>
            <w:tcW w:w="2494" w:type="dxa"/>
            <w:tcBorders>
              <w:top w:val="single" w:sz="4" w:space="0" w:color="D8D0C4"/>
              <w:left w:val="single" w:sz="4" w:space="0" w:color="D8D0C4"/>
              <w:bottom w:val="single" w:sz="4" w:space="0" w:color="D8D0C4"/>
              <w:right w:val="single" w:sz="4" w:space="0" w:color="D8D0C4"/>
            </w:tcBorders>
            <w:shd w:val="clear" w:color="auto" w:fill="F3EFE7"/>
            <w:tcMar>
              <w:top w:w="85" w:type="dxa"/>
              <w:left w:w="70" w:type="dxa"/>
              <w:bottom w:w="80" w:type="dxa"/>
              <w:right w:w="70" w:type="dxa"/>
            </w:tcMar>
          </w:tcPr>
          <w:p w14:paraId="5EABEA5F" w14:textId="77777777" w:rsidR="00D01C05" w:rsidRPr="00D01C05" w:rsidRDefault="00D01C05" w:rsidP="00D01C05">
            <w:pPr>
              <w:keepLines/>
              <w:spacing w:after="20" w:line="240" w:lineRule="auto"/>
              <w:jc w:val="center"/>
              <w:rPr>
                <w:sz w:val="32"/>
                <w:szCs w:val="48"/>
              </w:rPr>
            </w:pPr>
            <w:r w:rsidRPr="00D01C05">
              <w:rPr>
                <w:b/>
                <w:color w:val="7A1F23"/>
                <w:sz w:val="32"/>
                <w:szCs w:val="48"/>
              </w:rPr>
              <w:t>FORENSIC</w:t>
            </w:r>
          </w:p>
          <w:p w14:paraId="044B1B80" w14:textId="77777777" w:rsidR="00D01C05" w:rsidRPr="00D01C05" w:rsidRDefault="00D01C05" w:rsidP="00D01C05">
            <w:pPr>
              <w:keepLines/>
              <w:spacing w:after="0" w:line="240" w:lineRule="auto"/>
              <w:jc w:val="center"/>
              <w:rPr>
                <w:sz w:val="32"/>
                <w:szCs w:val="48"/>
              </w:rPr>
            </w:pPr>
            <w:r w:rsidRPr="00D01C05">
              <w:rPr>
                <w:color w:val="242424"/>
                <w:sz w:val="32"/>
                <w:szCs w:val="48"/>
              </w:rPr>
              <w:t>Evidence-led investigation</w:t>
            </w:r>
          </w:p>
        </w:tc>
        <w:tc>
          <w:tcPr>
            <w:tcW w:w="2494" w:type="dxa"/>
            <w:tcBorders>
              <w:top w:val="single" w:sz="4" w:space="0" w:color="D8D0C4"/>
              <w:left w:val="single" w:sz="4" w:space="0" w:color="D8D0C4"/>
              <w:bottom w:val="single" w:sz="4" w:space="0" w:color="D8D0C4"/>
              <w:right w:val="single" w:sz="4" w:space="0" w:color="D8D0C4"/>
            </w:tcBorders>
            <w:shd w:val="clear" w:color="auto" w:fill="F3EFE7"/>
            <w:tcMar>
              <w:top w:w="85" w:type="dxa"/>
              <w:left w:w="70" w:type="dxa"/>
              <w:bottom w:w="80" w:type="dxa"/>
              <w:right w:w="70" w:type="dxa"/>
            </w:tcMar>
          </w:tcPr>
          <w:p w14:paraId="506AC0EF" w14:textId="77777777" w:rsidR="00D01C05" w:rsidRPr="00D01C05" w:rsidRDefault="00D01C05" w:rsidP="00D01C05">
            <w:pPr>
              <w:keepLines/>
              <w:spacing w:after="20" w:line="240" w:lineRule="auto"/>
              <w:jc w:val="center"/>
              <w:rPr>
                <w:sz w:val="32"/>
                <w:szCs w:val="48"/>
              </w:rPr>
            </w:pPr>
            <w:r w:rsidRPr="00D01C05">
              <w:rPr>
                <w:b/>
                <w:color w:val="7A1F23"/>
                <w:sz w:val="32"/>
                <w:szCs w:val="48"/>
              </w:rPr>
              <w:t>HUMAN</w:t>
            </w:r>
          </w:p>
          <w:p w14:paraId="2A787CF3" w14:textId="77777777" w:rsidR="00D01C05" w:rsidRPr="00D01C05" w:rsidRDefault="00D01C05" w:rsidP="00D01C05">
            <w:pPr>
              <w:keepLines/>
              <w:spacing w:after="0" w:line="240" w:lineRule="auto"/>
              <w:jc w:val="center"/>
              <w:rPr>
                <w:sz w:val="32"/>
                <w:szCs w:val="48"/>
              </w:rPr>
            </w:pPr>
            <w:r w:rsidRPr="00D01C05">
              <w:rPr>
                <w:color w:val="242424"/>
                <w:sz w:val="32"/>
                <w:szCs w:val="48"/>
              </w:rPr>
              <w:t>Victims and eyewitnesses</w:t>
            </w:r>
          </w:p>
        </w:tc>
        <w:tc>
          <w:tcPr>
            <w:tcW w:w="2494" w:type="dxa"/>
            <w:tcBorders>
              <w:top w:val="single" w:sz="4" w:space="0" w:color="D8D0C4"/>
              <w:left w:val="single" w:sz="4" w:space="0" w:color="D8D0C4"/>
              <w:bottom w:val="single" w:sz="4" w:space="0" w:color="D8D0C4"/>
              <w:right w:val="single" w:sz="4" w:space="0" w:color="D8D0C4"/>
            </w:tcBorders>
            <w:shd w:val="clear" w:color="auto" w:fill="F3EFE7"/>
            <w:tcMar>
              <w:top w:w="85" w:type="dxa"/>
              <w:left w:w="70" w:type="dxa"/>
              <w:bottom w:w="80" w:type="dxa"/>
              <w:right w:w="70" w:type="dxa"/>
            </w:tcMar>
          </w:tcPr>
          <w:p w14:paraId="6B5E2DDF" w14:textId="77777777" w:rsidR="00D01C05" w:rsidRPr="00D01C05" w:rsidRDefault="00D01C05" w:rsidP="00D01C05">
            <w:pPr>
              <w:keepLines/>
              <w:spacing w:after="20" w:line="240" w:lineRule="auto"/>
              <w:jc w:val="center"/>
              <w:rPr>
                <w:sz w:val="32"/>
                <w:szCs w:val="48"/>
              </w:rPr>
            </w:pPr>
            <w:r w:rsidRPr="00D01C05">
              <w:rPr>
                <w:b/>
                <w:color w:val="7A1F23"/>
                <w:sz w:val="32"/>
                <w:szCs w:val="48"/>
              </w:rPr>
              <w:t>ILLUSTRATED</w:t>
            </w:r>
          </w:p>
          <w:p w14:paraId="1712BBAD" w14:textId="77777777" w:rsidR="00D01C05" w:rsidRPr="00D01C05" w:rsidRDefault="00D01C05" w:rsidP="00D01C05">
            <w:pPr>
              <w:keepLines/>
              <w:spacing w:after="0" w:line="240" w:lineRule="auto"/>
              <w:jc w:val="center"/>
              <w:rPr>
                <w:sz w:val="32"/>
                <w:szCs w:val="48"/>
              </w:rPr>
            </w:pPr>
            <w:r w:rsidRPr="00D01C05">
              <w:rPr>
                <w:color w:val="242424"/>
                <w:sz w:val="32"/>
                <w:szCs w:val="48"/>
              </w:rPr>
              <w:t>Photos, records &amp; diagrams</w:t>
            </w:r>
          </w:p>
        </w:tc>
      </w:tr>
    </w:tbl>
    <w:p w14:paraId="45E5DF77" w14:textId="77777777" w:rsidR="00E75E2A" w:rsidRDefault="00000000">
      <w:r>
        <w:br w:type="page"/>
      </w:r>
    </w:p>
    <w:p w14:paraId="1EBAC088" w14:textId="77777777" w:rsidR="00E75E2A" w:rsidRDefault="00000000">
      <w:pPr>
        <w:keepLines/>
        <w:spacing w:after="40" w:line="240" w:lineRule="auto"/>
      </w:pPr>
      <w:r>
        <w:rPr>
          <w:b/>
          <w:color w:val="7A1F23"/>
          <w:sz w:val="17"/>
        </w:rPr>
        <w:lastRenderedPageBreak/>
        <w:t>THE STORY</w:t>
      </w:r>
    </w:p>
    <w:p w14:paraId="7D78F53F" w14:textId="77777777" w:rsidR="00E75E2A" w:rsidRDefault="00000000">
      <w:pPr>
        <w:keepLines/>
        <w:pBdr>
          <w:bottom w:val="single" w:sz="8" w:space="4" w:color="7A1F23"/>
        </w:pBdr>
        <w:spacing w:after="160" w:line="240" w:lineRule="auto"/>
      </w:pPr>
      <w:r>
        <w:rPr>
          <w:rFonts w:ascii="Aptos Display" w:hAnsi="Aptos Display"/>
          <w:b/>
          <w:color w:val="242424"/>
          <w:sz w:val="40"/>
        </w:rPr>
        <w:t>What Happened - and Why It Still Matters</w:t>
      </w:r>
    </w:p>
    <w:p w14:paraId="24657BE8" w14:textId="77777777" w:rsidR="00E75E2A" w:rsidRPr="00D01C05" w:rsidRDefault="00000000" w:rsidP="00D01C05">
      <w:pPr>
        <w:spacing w:after="120" w:line="262" w:lineRule="auto"/>
        <w:jc w:val="both"/>
        <w:rPr>
          <w:sz w:val="24"/>
          <w:szCs w:val="24"/>
        </w:rPr>
      </w:pPr>
      <w:r w:rsidRPr="00D01C05">
        <w:rPr>
          <w:color w:val="242424"/>
          <w:sz w:val="24"/>
          <w:szCs w:val="24"/>
        </w:rPr>
        <w:t>On Friday, 17 May 1974, three car bombs exploded in central Dublin within minutes of one another. A fourth exploded in Monaghan ninety minutes later. Thirty-four people, including an unborn child, were killed and almost 300 were injured. It was the greatest loss of life on a single day of the Troubles. No one has ever been prosecuted.</w:t>
      </w:r>
    </w:p>
    <w:p w14:paraId="644F3D3C" w14:textId="77777777" w:rsidR="00E75E2A" w:rsidRPr="00D01C05" w:rsidRDefault="00000000" w:rsidP="00D01C05">
      <w:pPr>
        <w:spacing w:after="120" w:line="262" w:lineRule="auto"/>
        <w:jc w:val="both"/>
        <w:rPr>
          <w:sz w:val="24"/>
          <w:szCs w:val="24"/>
        </w:rPr>
      </w:pPr>
      <w:r w:rsidRPr="00D01C05">
        <w:rPr>
          <w:color w:val="242424"/>
          <w:sz w:val="24"/>
          <w:szCs w:val="24"/>
        </w:rPr>
        <w:t>Conspiracy to Commit Mass Murder begins with the victims and the lived reality of the attacks, drawing on eyewitness testimony from Garda officers, survivors and those who encountered the immediate aftermath. It then widens the lens to the collapse of Sunningdale, the Ulster Workers’ Council strike, loyalist mobilisation, the UVF’s operational record, British and Irish security capacity, and the network of military, police and intelligence bodies operating in Northern Ireland.</w:t>
      </w:r>
    </w:p>
    <w:p w14:paraId="4EED0B5A" w14:textId="77777777" w:rsidR="00E75E2A" w:rsidRPr="00D01C05" w:rsidRDefault="00000000" w:rsidP="00D01C05">
      <w:pPr>
        <w:spacing w:after="140" w:line="262" w:lineRule="auto"/>
        <w:jc w:val="both"/>
        <w:rPr>
          <w:sz w:val="24"/>
          <w:szCs w:val="32"/>
        </w:rPr>
      </w:pPr>
      <w:r w:rsidRPr="00D01C05">
        <w:rPr>
          <w:color w:val="242424"/>
          <w:sz w:val="24"/>
          <w:szCs w:val="24"/>
        </w:rPr>
        <w:t>This is not a book built on accusation. It follows the habits of a criminal investigation - motive, opportunity, means, capability, relationships, intelligence and conduct after the crime. Its central argument is both factual and moral: governments may manage political risk, but the murder of civilians creates an enduring duty to pursue the fullest truth that can still be found</w:t>
      </w:r>
      <w:r w:rsidRPr="00D01C05">
        <w:rPr>
          <w:color w:val="242424"/>
          <w:sz w:val="28"/>
          <w:szCs w:val="36"/>
        </w:rPr>
        <w:t>.</w:t>
      </w:r>
    </w:p>
    <w:tbl>
      <w:tblPr>
        <w:tblW w:w="0" w:type="auto"/>
        <w:jc w:val="center"/>
        <w:tblLook w:val="04A0" w:firstRow="1" w:lastRow="0" w:firstColumn="1" w:lastColumn="0" w:noHBand="0" w:noVBand="1"/>
      </w:tblPr>
      <w:tblGrid>
        <w:gridCol w:w="10148"/>
      </w:tblGrid>
      <w:tr w:rsidR="00E75E2A" w14:paraId="0B4763C8" w14:textId="77777777">
        <w:trPr>
          <w:cantSplit/>
          <w:jc w:val="center"/>
        </w:trPr>
        <w:tc>
          <w:tcPr>
            <w:tcW w:w="10148" w:type="dxa"/>
            <w:tcBorders>
              <w:top w:val="nil"/>
              <w:left w:val="single" w:sz="18" w:space="0" w:color="7A1F23"/>
              <w:bottom w:val="nil"/>
              <w:right w:val="nil"/>
            </w:tcBorders>
            <w:shd w:val="clear" w:color="auto" w:fill="F3EFE7"/>
            <w:tcMar>
              <w:top w:w="130" w:type="dxa"/>
              <w:left w:w="220" w:type="dxa"/>
              <w:bottom w:w="120" w:type="dxa"/>
              <w:right w:w="220" w:type="dxa"/>
            </w:tcMar>
          </w:tcPr>
          <w:p w14:paraId="76D94C64" w14:textId="77777777" w:rsidR="00E75E2A" w:rsidRPr="00D01C05" w:rsidRDefault="00000000">
            <w:pPr>
              <w:keepLines/>
              <w:spacing w:after="80" w:line="247" w:lineRule="auto"/>
              <w:rPr>
                <w:sz w:val="21"/>
                <w:szCs w:val="24"/>
              </w:rPr>
            </w:pPr>
            <w:r w:rsidRPr="00D01C05">
              <w:rPr>
                <w:rFonts w:ascii="Georgia" w:hAnsi="Georgia"/>
                <w:i/>
                <w:color w:val="242424"/>
                <w:sz w:val="24"/>
                <w:szCs w:val="24"/>
              </w:rPr>
              <w:t>“This is not an assertion in search of supporting facts. It is an examination of the facts, the contradictions and the absences that have accumulated over five decades.”</w:t>
            </w:r>
          </w:p>
          <w:p w14:paraId="09548A39" w14:textId="77777777" w:rsidR="00E75E2A" w:rsidRDefault="00000000">
            <w:pPr>
              <w:keepLines/>
              <w:spacing w:after="0" w:line="240" w:lineRule="auto"/>
              <w:jc w:val="right"/>
            </w:pPr>
            <w:r>
              <w:rPr>
                <w:b/>
                <w:color w:val="7A1F23"/>
                <w:sz w:val="17"/>
              </w:rPr>
              <w:t>FROM THE PROLOGUE</w:t>
            </w:r>
          </w:p>
        </w:tc>
      </w:tr>
    </w:tbl>
    <w:p w14:paraId="4CCBB68A" w14:textId="77777777" w:rsidR="00E75E2A" w:rsidRPr="00D01C05" w:rsidRDefault="00000000">
      <w:pPr>
        <w:keepLines/>
        <w:spacing w:before="40" w:after="60" w:line="240" w:lineRule="auto"/>
        <w:rPr>
          <w:sz w:val="24"/>
          <w:szCs w:val="32"/>
        </w:rPr>
      </w:pPr>
      <w:r w:rsidRPr="00D01C05">
        <w:rPr>
          <w:b/>
          <w:color w:val="7A1F23"/>
          <w:sz w:val="28"/>
          <w:szCs w:val="32"/>
        </w:rPr>
        <w:t>The questions at the heart of the book</w:t>
      </w:r>
    </w:p>
    <w:p w14:paraId="3E269F87"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Could the UVF, acting alone, have organised and executed the highly coordinated Dublin operation?</w:t>
      </w:r>
    </w:p>
    <w:p w14:paraId="6AC2DE40"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What did the British Army, RUC Special Branch, MI5, MI6, the UDR and their informant networks know before and after the attacks?</w:t>
      </w:r>
    </w:p>
    <w:p w14:paraId="50D51FC8"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Why did intelligence identifying suspects fail to produce transparent investigation, disclosure or prosecution?</w:t>
      </w:r>
    </w:p>
    <w:p w14:paraId="1B311007"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Did British secrecy and Irish governmental caution combine to prevent full accountability?</w:t>
      </w:r>
    </w:p>
    <w:p w14:paraId="562E5ECF" w14:textId="5B8B9BD1" w:rsidR="00D01C05" w:rsidRPr="0062404E" w:rsidRDefault="00000000">
      <w:pPr>
        <w:keepLines/>
        <w:spacing w:before="40" w:after="60" w:line="240" w:lineRule="auto"/>
        <w:rPr>
          <w:b/>
          <w:color w:val="7A1F23"/>
          <w:sz w:val="28"/>
          <w:szCs w:val="32"/>
        </w:rPr>
      </w:pPr>
      <w:r w:rsidRPr="0062404E">
        <w:rPr>
          <w:b/>
          <w:color w:val="7A1F23"/>
          <w:sz w:val="28"/>
          <w:szCs w:val="32"/>
        </w:rPr>
        <w:t>How the story unfolds</w:t>
      </w:r>
    </w:p>
    <w:tbl>
      <w:tblPr>
        <w:tblW w:w="0" w:type="auto"/>
        <w:jc w:val="center"/>
        <w:tblLayout w:type="fixed"/>
        <w:tblLook w:val="04A0" w:firstRow="1" w:lastRow="0" w:firstColumn="1" w:lastColumn="0" w:noHBand="0" w:noVBand="1"/>
      </w:tblPr>
      <w:tblGrid>
        <w:gridCol w:w="595"/>
        <w:gridCol w:w="8617"/>
      </w:tblGrid>
      <w:tr w:rsidR="00E75E2A" w:rsidRPr="00D01C05" w14:paraId="4BC1EB5B" w14:textId="77777777">
        <w:trPr>
          <w:cantSplit/>
          <w:jc w:val="center"/>
        </w:trPr>
        <w:tc>
          <w:tcPr>
            <w:tcW w:w="595" w:type="dxa"/>
            <w:tcBorders>
              <w:top w:val="nil"/>
              <w:left w:val="nil"/>
              <w:bottom w:val="nil"/>
              <w:right w:val="nil"/>
            </w:tcBorders>
            <w:shd w:val="clear" w:color="auto" w:fill="7A1F23"/>
            <w:tcMar>
              <w:top w:w="70" w:type="dxa"/>
              <w:left w:w="50" w:type="dxa"/>
              <w:bottom w:w="70" w:type="dxa"/>
              <w:right w:w="50" w:type="dxa"/>
            </w:tcMar>
          </w:tcPr>
          <w:p w14:paraId="7EE9FE91" w14:textId="77777777" w:rsidR="00E75E2A" w:rsidRPr="00D01C05" w:rsidRDefault="00000000">
            <w:pPr>
              <w:keepLines/>
              <w:spacing w:after="0" w:line="240" w:lineRule="auto"/>
              <w:jc w:val="center"/>
              <w:rPr>
                <w:sz w:val="24"/>
                <w:szCs w:val="32"/>
              </w:rPr>
            </w:pPr>
            <w:r w:rsidRPr="00D01C05">
              <w:rPr>
                <w:rFonts w:ascii="Aptos Display" w:hAnsi="Aptos Display"/>
                <w:b/>
                <w:color w:val="FFFFFF"/>
                <w:sz w:val="36"/>
                <w:szCs w:val="32"/>
              </w:rPr>
              <w:t>1</w:t>
            </w:r>
          </w:p>
        </w:tc>
        <w:tc>
          <w:tcPr>
            <w:tcW w:w="8617" w:type="dxa"/>
            <w:tcBorders>
              <w:top w:val="nil"/>
              <w:left w:val="nil"/>
              <w:bottom w:val="nil"/>
              <w:right w:val="nil"/>
            </w:tcBorders>
            <w:shd w:val="clear" w:color="auto" w:fill="FAF8F4"/>
            <w:tcMar>
              <w:top w:w="70" w:type="dxa"/>
              <w:left w:w="130" w:type="dxa"/>
              <w:bottom w:w="70" w:type="dxa"/>
              <w:right w:w="130" w:type="dxa"/>
            </w:tcMar>
          </w:tcPr>
          <w:p w14:paraId="71D80047" w14:textId="77777777" w:rsidR="00E75E2A" w:rsidRPr="00D01C05" w:rsidRDefault="00000000">
            <w:pPr>
              <w:keepLines/>
              <w:spacing w:after="20" w:line="240" w:lineRule="auto"/>
              <w:rPr>
                <w:sz w:val="24"/>
                <w:szCs w:val="32"/>
              </w:rPr>
            </w:pPr>
            <w:r w:rsidRPr="00D01C05">
              <w:rPr>
                <w:b/>
                <w:color w:val="242424"/>
                <w:sz w:val="24"/>
                <w:szCs w:val="32"/>
              </w:rPr>
              <w:t>The political crisis</w:t>
            </w:r>
          </w:p>
          <w:p w14:paraId="068F8A86" w14:textId="77777777" w:rsidR="00E75E2A" w:rsidRPr="00D01C05" w:rsidRDefault="00000000">
            <w:pPr>
              <w:keepLines/>
              <w:spacing w:after="0" w:line="247" w:lineRule="auto"/>
              <w:rPr>
                <w:sz w:val="24"/>
                <w:szCs w:val="32"/>
              </w:rPr>
            </w:pPr>
            <w:r w:rsidRPr="0062404E">
              <w:rPr>
                <w:color w:val="5D5D5D"/>
                <w:sz w:val="24"/>
                <w:szCs w:val="36"/>
              </w:rPr>
              <w:t>Sunningdale, the UWC strike, the “Doomsday” narrative and a weakened British government create the tense political background to the attacks</w:t>
            </w:r>
            <w:r w:rsidRPr="00D01C05">
              <w:rPr>
                <w:color w:val="5D5D5D"/>
                <w:sz w:val="22"/>
                <w:szCs w:val="32"/>
              </w:rPr>
              <w:t>.</w:t>
            </w:r>
          </w:p>
        </w:tc>
      </w:tr>
    </w:tbl>
    <w:p w14:paraId="696ED022" w14:textId="77777777" w:rsidR="00E75E2A" w:rsidRPr="00D01C05" w:rsidRDefault="00E75E2A">
      <w:pPr>
        <w:spacing w:after="40" w:line="240" w:lineRule="auto"/>
        <w:rPr>
          <w:sz w:val="24"/>
          <w:szCs w:val="32"/>
        </w:rPr>
      </w:pPr>
    </w:p>
    <w:tbl>
      <w:tblPr>
        <w:tblW w:w="0" w:type="auto"/>
        <w:jc w:val="center"/>
        <w:tblLayout w:type="fixed"/>
        <w:tblLook w:val="04A0" w:firstRow="1" w:lastRow="0" w:firstColumn="1" w:lastColumn="0" w:noHBand="0" w:noVBand="1"/>
      </w:tblPr>
      <w:tblGrid>
        <w:gridCol w:w="595"/>
        <w:gridCol w:w="8617"/>
      </w:tblGrid>
      <w:tr w:rsidR="00E75E2A" w:rsidRPr="00D01C05" w14:paraId="3D6B4A8A" w14:textId="77777777">
        <w:trPr>
          <w:cantSplit/>
          <w:jc w:val="center"/>
        </w:trPr>
        <w:tc>
          <w:tcPr>
            <w:tcW w:w="595" w:type="dxa"/>
            <w:tcBorders>
              <w:top w:val="nil"/>
              <w:left w:val="nil"/>
              <w:bottom w:val="nil"/>
              <w:right w:val="nil"/>
            </w:tcBorders>
            <w:shd w:val="clear" w:color="auto" w:fill="7A1F23"/>
            <w:tcMar>
              <w:top w:w="70" w:type="dxa"/>
              <w:left w:w="50" w:type="dxa"/>
              <w:bottom w:w="70" w:type="dxa"/>
              <w:right w:w="50" w:type="dxa"/>
            </w:tcMar>
          </w:tcPr>
          <w:p w14:paraId="5B338C88" w14:textId="77777777" w:rsidR="00E75E2A" w:rsidRPr="00D01C05" w:rsidRDefault="00000000">
            <w:pPr>
              <w:keepLines/>
              <w:spacing w:after="0" w:line="240" w:lineRule="auto"/>
              <w:jc w:val="center"/>
              <w:rPr>
                <w:sz w:val="24"/>
                <w:szCs w:val="32"/>
              </w:rPr>
            </w:pPr>
            <w:r w:rsidRPr="00D01C05">
              <w:rPr>
                <w:rFonts w:ascii="Aptos Display" w:hAnsi="Aptos Display"/>
                <w:b/>
                <w:color w:val="FFFFFF"/>
                <w:sz w:val="36"/>
                <w:szCs w:val="32"/>
              </w:rPr>
              <w:t>2</w:t>
            </w:r>
          </w:p>
        </w:tc>
        <w:tc>
          <w:tcPr>
            <w:tcW w:w="8617" w:type="dxa"/>
            <w:tcBorders>
              <w:top w:val="nil"/>
              <w:left w:val="nil"/>
              <w:bottom w:val="nil"/>
              <w:right w:val="nil"/>
            </w:tcBorders>
            <w:shd w:val="clear" w:color="auto" w:fill="FAF8F4"/>
            <w:tcMar>
              <w:top w:w="70" w:type="dxa"/>
              <w:left w:w="130" w:type="dxa"/>
              <w:bottom w:w="70" w:type="dxa"/>
              <w:right w:w="130" w:type="dxa"/>
            </w:tcMar>
          </w:tcPr>
          <w:p w14:paraId="63A311A0" w14:textId="77777777" w:rsidR="00E75E2A" w:rsidRPr="00D01C05" w:rsidRDefault="00000000">
            <w:pPr>
              <w:keepLines/>
              <w:spacing w:after="20" w:line="240" w:lineRule="auto"/>
              <w:rPr>
                <w:sz w:val="24"/>
                <w:szCs w:val="32"/>
              </w:rPr>
            </w:pPr>
            <w:r w:rsidRPr="00D01C05">
              <w:rPr>
                <w:b/>
                <w:color w:val="242424"/>
                <w:sz w:val="24"/>
                <w:szCs w:val="32"/>
              </w:rPr>
              <w:t>The operation</w:t>
            </w:r>
          </w:p>
          <w:p w14:paraId="01E80743" w14:textId="77777777" w:rsidR="00E75E2A" w:rsidRPr="00D01C05" w:rsidRDefault="00000000">
            <w:pPr>
              <w:keepLines/>
              <w:spacing w:after="0" w:line="247" w:lineRule="auto"/>
              <w:rPr>
                <w:sz w:val="24"/>
                <w:szCs w:val="32"/>
              </w:rPr>
            </w:pPr>
            <w:r w:rsidRPr="0062404E">
              <w:rPr>
                <w:color w:val="5D5D5D"/>
                <w:sz w:val="24"/>
                <w:szCs w:val="36"/>
              </w:rPr>
              <w:t>Victims, vehicles, timing, explosives, reconnaissance, manpower, deployment and escape are examined as parts of a single criminal plan.</w:t>
            </w:r>
          </w:p>
        </w:tc>
      </w:tr>
    </w:tbl>
    <w:p w14:paraId="581768A0" w14:textId="77777777" w:rsidR="00E75E2A" w:rsidRPr="00D01C05" w:rsidRDefault="00E75E2A">
      <w:pPr>
        <w:spacing w:after="40" w:line="240" w:lineRule="auto"/>
        <w:rPr>
          <w:sz w:val="24"/>
          <w:szCs w:val="32"/>
        </w:rPr>
      </w:pPr>
    </w:p>
    <w:tbl>
      <w:tblPr>
        <w:tblW w:w="0" w:type="auto"/>
        <w:jc w:val="center"/>
        <w:tblLayout w:type="fixed"/>
        <w:tblLook w:val="04A0" w:firstRow="1" w:lastRow="0" w:firstColumn="1" w:lastColumn="0" w:noHBand="0" w:noVBand="1"/>
      </w:tblPr>
      <w:tblGrid>
        <w:gridCol w:w="595"/>
        <w:gridCol w:w="8617"/>
      </w:tblGrid>
      <w:tr w:rsidR="00E75E2A" w:rsidRPr="00D01C05" w14:paraId="07EA0BAB" w14:textId="77777777">
        <w:trPr>
          <w:cantSplit/>
          <w:jc w:val="center"/>
        </w:trPr>
        <w:tc>
          <w:tcPr>
            <w:tcW w:w="595" w:type="dxa"/>
            <w:tcBorders>
              <w:top w:val="nil"/>
              <w:left w:val="nil"/>
              <w:bottom w:val="nil"/>
              <w:right w:val="nil"/>
            </w:tcBorders>
            <w:shd w:val="clear" w:color="auto" w:fill="7A1F23"/>
            <w:tcMar>
              <w:top w:w="70" w:type="dxa"/>
              <w:left w:w="50" w:type="dxa"/>
              <w:bottom w:w="70" w:type="dxa"/>
              <w:right w:w="50" w:type="dxa"/>
            </w:tcMar>
          </w:tcPr>
          <w:p w14:paraId="1515A076" w14:textId="77777777" w:rsidR="00E75E2A" w:rsidRPr="00D01C05" w:rsidRDefault="00000000">
            <w:pPr>
              <w:keepLines/>
              <w:spacing w:after="0" w:line="240" w:lineRule="auto"/>
              <w:jc w:val="center"/>
              <w:rPr>
                <w:sz w:val="24"/>
                <w:szCs w:val="32"/>
              </w:rPr>
            </w:pPr>
            <w:r w:rsidRPr="00D01C05">
              <w:rPr>
                <w:rFonts w:ascii="Aptos Display" w:hAnsi="Aptos Display"/>
                <w:b/>
                <w:color w:val="FFFFFF"/>
                <w:sz w:val="36"/>
                <w:szCs w:val="32"/>
              </w:rPr>
              <w:t>3</w:t>
            </w:r>
          </w:p>
        </w:tc>
        <w:tc>
          <w:tcPr>
            <w:tcW w:w="8617" w:type="dxa"/>
            <w:tcBorders>
              <w:top w:val="nil"/>
              <w:left w:val="nil"/>
              <w:bottom w:val="nil"/>
              <w:right w:val="nil"/>
            </w:tcBorders>
            <w:shd w:val="clear" w:color="auto" w:fill="FAF8F4"/>
            <w:tcMar>
              <w:top w:w="70" w:type="dxa"/>
              <w:left w:w="130" w:type="dxa"/>
              <w:bottom w:w="70" w:type="dxa"/>
              <w:right w:w="130" w:type="dxa"/>
            </w:tcMar>
          </w:tcPr>
          <w:p w14:paraId="79B99CA4" w14:textId="4C6538D9" w:rsidR="00E75E2A" w:rsidRPr="00D01C05" w:rsidRDefault="00000000">
            <w:pPr>
              <w:keepLines/>
              <w:spacing w:after="20" w:line="240" w:lineRule="auto"/>
              <w:rPr>
                <w:sz w:val="24"/>
                <w:szCs w:val="32"/>
              </w:rPr>
            </w:pPr>
            <w:r w:rsidRPr="00D01C05">
              <w:rPr>
                <w:b/>
                <w:color w:val="242424"/>
                <w:sz w:val="24"/>
                <w:szCs w:val="32"/>
              </w:rPr>
              <w:t xml:space="preserve">The intelligence </w:t>
            </w:r>
            <w:r w:rsidR="004E0947">
              <w:rPr>
                <w:b/>
                <w:color w:val="242424"/>
                <w:sz w:val="24"/>
                <w:szCs w:val="32"/>
              </w:rPr>
              <w:t xml:space="preserve">eco </w:t>
            </w:r>
            <w:r w:rsidRPr="00D01C05">
              <w:rPr>
                <w:b/>
                <w:color w:val="242424"/>
                <w:sz w:val="24"/>
                <w:szCs w:val="32"/>
              </w:rPr>
              <w:t>system</w:t>
            </w:r>
          </w:p>
          <w:p w14:paraId="60BB2E3F" w14:textId="77777777" w:rsidR="00E75E2A" w:rsidRPr="00D01C05" w:rsidRDefault="00000000">
            <w:pPr>
              <w:keepLines/>
              <w:spacing w:after="0" w:line="247" w:lineRule="auto"/>
              <w:rPr>
                <w:sz w:val="24"/>
                <w:szCs w:val="32"/>
              </w:rPr>
            </w:pPr>
            <w:r w:rsidRPr="0062404E">
              <w:rPr>
                <w:color w:val="5D5D5D"/>
                <w:sz w:val="24"/>
                <w:szCs w:val="36"/>
              </w:rPr>
              <w:t>The book maps the Army, police, security services and UDR structures surrounding loyalist organisations in 1973-75.</w:t>
            </w:r>
          </w:p>
        </w:tc>
      </w:tr>
    </w:tbl>
    <w:p w14:paraId="38CE5E5D" w14:textId="77777777" w:rsidR="00E75E2A" w:rsidRPr="00D01C05" w:rsidRDefault="00E75E2A">
      <w:pPr>
        <w:spacing w:after="40" w:line="240" w:lineRule="auto"/>
        <w:rPr>
          <w:sz w:val="24"/>
          <w:szCs w:val="32"/>
        </w:rPr>
      </w:pPr>
    </w:p>
    <w:tbl>
      <w:tblPr>
        <w:tblW w:w="0" w:type="auto"/>
        <w:jc w:val="center"/>
        <w:tblLayout w:type="fixed"/>
        <w:tblLook w:val="04A0" w:firstRow="1" w:lastRow="0" w:firstColumn="1" w:lastColumn="0" w:noHBand="0" w:noVBand="1"/>
      </w:tblPr>
      <w:tblGrid>
        <w:gridCol w:w="595"/>
        <w:gridCol w:w="8617"/>
      </w:tblGrid>
      <w:tr w:rsidR="00E75E2A" w:rsidRPr="00D01C05" w14:paraId="0C45618C" w14:textId="77777777" w:rsidTr="00D01C05">
        <w:trPr>
          <w:cantSplit/>
          <w:trHeight w:val="27"/>
          <w:jc w:val="center"/>
        </w:trPr>
        <w:tc>
          <w:tcPr>
            <w:tcW w:w="595" w:type="dxa"/>
            <w:tcBorders>
              <w:top w:val="nil"/>
              <w:left w:val="nil"/>
              <w:bottom w:val="nil"/>
              <w:right w:val="nil"/>
            </w:tcBorders>
            <w:shd w:val="clear" w:color="auto" w:fill="7A1F23"/>
            <w:tcMar>
              <w:top w:w="70" w:type="dxa"/>
              <w:left w:w="50" w:type="dxa"/>
              <w:bottom w:w="70" w:type="dxa"/>
              <w:right w:w="50" w:type="dxa"/>
            </w:tcMar>
          </w:tcPr>
          <w:p w14:paraId="6006D4F3" w14:textId="77777777" w:rsidR="00E75E2A" w:rsidRPr="00D01C05" w:rsidRDefault="00000000">
            <w:pPr>
              <w:keepLines/>
              <w:spacing w:after="0" w:line="240" w:lineRule="auto"/>
              <w:jc w:val="center"/>
              <w:rPr>
                <w:sz w:val="24"/>
                <w:szCs w:val="32"/>
              </w:rPr>
            </w:pPr>
            <w:r w:rsidRPr="00D01C05">
              <w:rPr>
                <w:rFonts w:ascii="Aptos Display" w:hAnsi="Aptos Display"/>
                <w:b/>
                <w:color w:val="FFFFFF"/>
                <w:sz w:val="36"/>
                <w:szCs w:val="32"/>
              </w:rPr>
              <w:t>4</w:t>
            </w:r>
          </w:p>
        </w:tc>
        <w:tc>
          <w:tcPr>
            <w:tcW w:w="8617" w:type="dxa"/>
            <w:tcBorders>
              <w:top w:val="nil"/>
              <w:left w:val="nil"/>
              <w:bottom w:val="nil"/>
              <w:right w:val="nil"/>
            </w:tcBorders>
            <w:shd w:val="clear" w:color="auto" w:fill="FAF8F4"/>
            <w:tcMar>
              <w:top w:w="70" w:type="dxa"/>
              <w:left w:w="130" w:type="dxa"/>
              <w:bottom w:w="70" w:type="dxa"/>
              <w:right w:w="130" w:type="dxa"/>
            </w:tcMar>
          </w:tcPr>
          <w:p w14:paraId="01244CD7" w14:textId="77777777" w:rsidR="00E75E2A" w:rsidRPr="00D01C05" w:rsidRDefault="00000000">
            <w:pPr>
              <w:keepLines/>
              <w:spacing w:after="20" w:line="240" w:lineRule="auto"/>
              <w:rPr>
                <w:sz w:val="24"/>
                <w:szCs w:val="32"/>
              </w:rPr>
            </w:pPr>
            <w:r w:rsidRPr="00D01C05">
              <w:rPr>
                <w:b/>
                <w:color w:val="242424"/>
                <w:sz w:val="24"/>
                <w:szCs w:val="32"/>
              </w:rPr>
              <w:t>The long aftermath</w:t>
            </w:r>
          </w:p>
          <w:p w14:paraId="68A4906C" w14:textId="507ED81F" w:rsidR="00E75E2A" w:rsidRPr="00D01C05" w:rsidRDefault="00000000">
            <w:pPr>
              <w:keepLines/>
              <w:spacing w:after="0" w:line="247" w:lineRule="auto"/>
              <w:rPr>
                <w:sz w:val="24"/>
                <w:szCs w:val="32"/>
              </w:rPr>
            </w:pPr>
            <w:r w:rsidRPr="0062404E">
              <w:rPr>
                <w:color w:val="5D5D5D"/>
                <w:sz w:val="24"/>
                <w:szCs w:val="36"/>
              </w:rPr>
              <w:t xml:space="preserve">From the first investigation to </w:t>
            </w:r>
            <w:r w:rsidR="00992508">
              <w:rPr>
                <w:color w:val="5D5D5D"/>
                <w:sz w:val="24"/>
                <w:szCs w:val="36"/>
              </w:rPr>
              <w:t xml:space="preserve">the </w:t>
            </w:r>
            <w:r w:rsidR="0062404E">
              <w:rPr>
                <w:color w:val="5D5D5D"/>
                <w:sz w:val="24"/>
                <w:szCs w:val="36"/>
              </w:rPr>
              <w:t>Hidden Hand</w:t>
            </w:r>
            <w:r w:rsidR="004537DC">
              <w:rPr>
                <w:color w:val="5D5D5D"/>
                <w:sz w:val="24"/>
                <w:szCs w:val="36"/>
              </w:rPr>
              <w:t xml:space="preserve"> Documentary</w:t>
            </w:r>
            <w:r w:rsidR="0062404E">
              <w:rPr>
                <w:color w:val="5D5D5D"/>
                <w:sz w:val="24"/>
                <w:szCs w:val="36"/>
              </w:rPr>
              <w:t xml:space="preserve">, </w:t>
            </w:r>
            <w:r w:rsidRPr="0062404E">
              <w:rPr>
                <w:color w:val="5D5D5D"/>
                <w:sz w:val="24"/>
                <w:szCs w:val="36"/>
              </w:rPr>
              <w:t xml:space="preserve">Barron, </w:t>
            </w:r>
            <w:r w:rsidR="0062404E">
              <w:rPr>
                <w:color w:val="5D5D5D"/>
                <w:sz w:val="24"/>
                <w:szCs w:val="36"/>
              </w:rPr>
              <w:t xml:space="preserve">Ardagh, </w:t>
            </w:r>
            <w:r w:rsidRPr="0062404E">
              <w:rPr>
                <w:color w:val="5D5D5D"/>
                <w:sz w:val="24"/>
                <w:szCs w:val="36"/>
              </w:rPr>
              <w:t xml:space="preserve">MacEntee, HET, Operation Denton, ICRIR and modern secrecy rules, the story is followed through </w:t>
            </w:r>
            <w:r w:rsidR="0062404E">
              <w:rPr>
                <w:color w:val="5D5D5D"/>
                <w:sz w:val="24"/>
                <w:szCs w:val="36"/>
              </w:rPr>
              <w:t xml:space="preserve">to </w:t>
            </w:r>
            <w:r w:rsidRPr="0062404E">
              <w:rPr>
                <w:color w:val="5D5D5D"/>
                <w:sz w:val="24"/>
                <w:szCs w:val="36"/>
              </w:rPr>
              <w:t>2026</w:t>
            </w:r>
            <w:r w:rsidRPr="00D01C05">
              <w:rPr>
                <w:color w:val="5D5D5D"/>
                <w:sz w:val="22"/>
                <w:szCs w:val="32"/>
              </w:rPr>
              <w:t>.</w:t>
            </w:r>
          </w:p>
        </w:tc>
      </w:tr>
    </w:tbl>
    <w:p w14:paraId="2E040DA7" w14:textId="77777777" w:rsidR="00E75E2A" w:rsidRDefault="00000000">
      <w:pPr>
        <w:keepLines/>
        <w:spacing w:after="40" w:line="240" w:lineRule="auto"/>
      </w:pPr>
      <w:r>
        <w:rPr>
          <w:b/>
          <w:color w:val="7A1F23"/>
          <w:sz w:val="17"/>
        </w:rPr>
        <w:lastRenderedPageBreak/>
        <w:t>WHY THIS BOOK MATTERS</w:t>
      </w:r>
    </w:p>
    <w:p w14:paraId="6C8C8127" w14:textId="77777777" w:rsidR="00E75E2A" w:rsidRDefault="00000000">
      <w:pPr>
        <w:keepLines/>
        <w:pBdr>
          <w:bottom w:val="single" w:sz="8" w:space="4" w:color="7A1F23"/>
        </w:pBdr>
        <w:spacing w:after="160" w:line="240" w:lineRule="auto"/>
      </w:pPr>
      <w:r>
        <w:rPr>
          <w:rFonts w:ascii="Aptos Display" w:hAnsi="Aptos Display"/>
          <w:b/>
          <w:color w:val="242424"/>
          <w:sz w:val="40"/>
        </w:rPr>
        <w:t>A Fresh Investigation of an Unresolved Crime</w:t>
      </w:r>
    </w:p>
    <w:tbl>
      <w:tblPr>
        <w:tblW w:w="0" w:type="auto"/>
        <w:jc w:val="center"/>
        <w:tblLayout w:type="fixed"/>
        <w:tblLook w:val="04A0" w:firstRow="1" w:lastRow="0" w:firstColumn="1" w:lastColumn="0" w:noHBand="0" w:noVBand="1"/>
      </w:tblPr>
      <w:tblGrid>
        <w:gridCol w:w="4592"/>
        <w:gridCol w:w="4592"/>
      </w:tblGrid>
      <w:tr w:rsidR="00E75E2A" w:rsidRPr="00D01C05" w14:paraId="0E16E9F8" w14:textId="77777777">
        <w:trPr>
          <w:cantSplit/>
          <w:jc w:val="center"/>
        </w:trPr>
        <w:tc>
          <w:tcPr>
            <w:tcW w:w="4592" w:type="dxa"/>
            <w:tcBorders>
              <w:top w:val="single" w:sz="6" w:space="0" w:color="D8D0C4"/>
              <w:left w:val="single" w:sz="6" w:space="0" w:color="D8D0C4"/>
              <w:bottom w:val="single" w:sz="6" w:space="0" w:color="D8D0C4"/>
              <w:right w:val="single" w:sz="6" w:space="0" w:color="D8D0C4"/>
            </w:tcBorders>
            <w:shd w:val="clear" w:color="auto" w:fill="FAF8F4"/>
            <w:tcMar>
              <w:top w:w="130" w:type="dxa"/>
              <w:left w:w="170" w:type="dxa"/>
              <w:bottom w:w="120" w:type="dxa"/>
              <w:right w:w="170" w:type="dxa"/>
            </w:tcMar>
          </w:tcPr>
          <w:p w14:paraId="6543ABED" w14:textId="77777777" w:rsidR="00E75E2A" w:rsidRPr="00D01C05" w:rsidRDefault="00000000">
            <w:pPr>
              <w:keepLines/>
              <w:spacing w:after="60" w:line="240" w:lineRule="auto"/>
              <w:rPr>
                <w:sz w:val="28"/>
                <w:szCs w:val="36"/>
              </w:rPr>
            </w:pPr>
            <w:r w:rsidRPr="00D01C05">
              <w:rPr>
                <w:b/>
                <w:color w:val="7A1F23"/>
                <w:sz w:val="28"/>
                <w:szCs w:val="36"/>
              </w:rPr>
              <w:t>A detective follows the evidence</w:t>
            </w:r>
          </w:p>
          <w:p w14:paraId="70279F8D" w14:textId="77777777" w:rsidR="00E75E2A" w:rsidRPr="00D01C05" w:rsidRDefault="00000000">
            <w:pPr>
              <w:keepLines/>
              <w:spacing w:after="0" w:line="250" w:lineRule="auto"/>
              <w:rPr>
                <w:sz w:val="28"/>
                <w:szCs w:val="36"/>
              </w:rPr>
            </w:pPr>
            <w:r w:rsidRPr="00D01C05">
              <w:rPr>
                <w:color w:val="242424"/>
                <w:sz w:val="24"/>
                <w:szCs w:val="36"/>
              </w:rPr>
              <w:t>John O’Brien separates intelligence from courtroom evidence, inference from proof, and institutional failure from individual criminal responsibility.</w:t>
            </w:r>
          </w:p>
        </w:tc>
        <w:tc>
          <w:tcPr>
            <w:tcW w:w="4592" w:type="dxa"/>
            <w:tcBorders>
              <w:top w:val="single" w:sz="6" w:space="0" w:color="D8D0C4"/>
              <w:left w:val="single" w:sz="6" w:space="0" w:color="D8D0C4"/>
              <w:bottom w:val="single" w:sz="6" w:space="0" w:color="D8D0C4"/>
              <w:right w:val="single" w:sz="6" w:space="0" w:color="D8D0C4"/>
            </w:tcBorders>
            <w:shd w:val="clear" w:color="auto" w:fill="FAF8F4"/>
            <w:tcMar>
              <w:top w:w="130" w:type="dxa"/>
              <w:left w:w="170" w:type="dxa"/>
              <w:bottom w:w="120" w:type="dxa"/>
              <w:right w:w="170" w:type="dxa"/>
            </w:tcMar>
          </w:tcPr>
          <w:p w14:paraId="3B20D91D" w14:textId="77777777" w:rsidR="00E75E2A" w:rsidRPr="00D01C05" w:rsidRDefault="00000000">
            <w:pPr>
              <w:keepLines/>
              <w:spacing w:after="60" w:line="240" w:lineRule="auto"/>
              <w:rPr>
                <w:sz w:val="28"/>
                <w:szCs w:val="36"/>
              </w:rPr>
            </w:pPr>
            <w:r w:rsidRPr="00D01C05">
              <w:rPr>
                <w:b/>
                <w:color w:val="7A1F23"/>
                <w:sz w:val="28"/>
                <w:szCs w:val="36"/>
              </w:rPr>
              <w:t>The victims remain central</w:t>
            </w:r>
          </w:p>
          <w:p w14:paraId="7635EECB" w14:textId="77777777" w:rsidR="00E75E2A" w:rsidRPr="00D01C05" w:rsidRDefault="00000000">
            <w:pPr>
              <w:keepLines/>
              <w:spacing w:after="0" w:line="250" w:lineRule="auto"/>
              <w:rPr>
                <w:sz w:val="28"/>
                <w:szCs w:val="36"/>
              </w:rPr>
            </w:pPr>
            <w:r w:rsidRPr="00D01C05">
              <w:rPr>
                <w:color w:val="242424"/>
                <w:sz w:val="24"/>
                <w:szCs w:val="36"/>
              </w:rPr>
              <w:t>The intelligence debate never eclipses the human cost. The O’Brien family, other victims, eyewitness Garda accounts and survivor testimony give the book its emotional centre.</w:t>
            </w:r>
          </w:p>
        </w:tc>
      </w:tr>
    </w:tbl>
    <w:p w14:paraId="201A8B43" w14:textId="77777777" w:rsidR="00E75E2A" w:rsidRPr="00D01C05" w:rsidRDefault="00E75E2A">
      <w:pPr>
        <w:spacing w:after="60" w:line="240" w:lineRule="auto"/>
        <w:rPr>
          <w:sz w:val="28"/>
          <w:szCs w:val="36"/>
        </w:rPr>
      </w:pPr>
    </w:p>
    <w:tbl>
      <w:tblPr>
        <w:tblW w:w="0" w:type="auto"/>
        <w:jc w:val="center"/>
        <w:tblLayout w:type="fixed"/>
        <w:tblLook w:val="04A0" w:firstRow="1" w:lastRow="0" w:firstColumn="1" w:lastColumn="0" w:noHBand="0" w:noVBand="1"/>
      </w:tblPr>
      <w:tblGrid>
        <w:gridCol w:w="4592"/>
        <w:gridCol w:w="4592"/>
      </w:tblGrid>
      <w:tr w:rsidR="00E75E2A" w:rsidRPr="00D01C05" w14:paraId="2D5C5F51" w14:textId="77777777">
        <w:trPr>
          <w:cantSplit/>
          <w:jc w:val="center"/>
        </w:trPr>
        <w:tc>
          <w:tcPr>
            <w:tcW w:w="4592" w:type="dxa"/>
            <w:tcBorders>
              <w:top w:val="single" w:sz="6" w:space="0" w:color="D8D0C4"/>
              <w:left w:val="single" w:sz="6" w:space="0" w:color="D8D0C4"/>
              <w:bottom w:val="single" w:sz="6" w:space="0" w:color="D8D0C4"/>
              <w:right w:val="single" w:sz="6" w:space="0" w:color="D8D0C4"/>
            </w:tcBorders>
            <w:shd w:val="clear" w:color="auto" w:fill="FAF8F4"/>
            <w:tcMar>
              <w:top w:w="130" w:type="dxa"/>
              <w:left w:w="170" w:type="dxa"/>
              <w:bottom w:w="120" w:type="dxa"/>
              <w:right w:w="170" w:type="dxa"/>
            </w:tcMar>
          </w:tcPr>
          <w:p w14:paraId="355D5DB6" w14:textId="77777777" w:rsidR="00E75E2A" w:rsidRPr="00D01C05" w:rsidRDefault="00000000">
            <w:pPr>
              <w:keepLines/>
              <w:spacing w:after="60" w:line="240" w:lineRule="auto"/>
              <w:rPr>
                <w:sz w:val="28"/>
                <w:szCs w:val="36"/>
              </w:rPr>
            </w:pPr>
            <w:r w:rsidRPr="00D01C05">
              <w:rPr>
                <w:b/>
                <w:color w:val="7A1F23"/>
                <w:sz w:val="28"/>
                <w:szCs w:val="36"/>
              </w:rPr>
              <w:t>The bombs examined closely</w:t>
            </w:r>
          </w:p>
          <w:p w14:paraId="59E0D6D3" w14:textId="77777777" w:rsidR="00E75E2A" w:rsidRPr="00D01C05" w:rsidRDefault="00000000">
            <w:pPr>
              <w:keepLines/>
              <w:spacing w:after="0" w:line="250" w:lineRule="auto"/>
              <w:rPr>
                <w:sz w:val="28"/>
                <w:szCs w:val="36"/>
              </w:rPr>
            </w:pPr>
            <w:r w:rsidRPr="00D01C05">
              <w:rPr>
                <w:color w:val="242424"/>
                <w:sz w:val="24"/>
                <w:szCs w:val="36"/>
              </w:rPr>
              <w:t>Experienced British and Irish military explosives specialists assess the devices alongside the UVF’s known record, allowing readers to test the accepted claim of capability.</w:t>
            </w:r>
          </w:p>
        </w:tc>
        <w:tc>
          <w:tcPr>
            <w:tcW w:w="4592" w:type="dxa"/>
            <w:tcBorders>
              <w:top w:val="single" w:sz="6" w:space="0" w:color="D8D0C4"/>
              <w:left w:val="single" w:sz="6" w:space="0" w:color="D8D0C4"/>
              <w:bottom w:val="single" w:sz="6" w:space="0" w:color="D8D0C4"/>
              <w:right w:val="single" w:sz="6" w:space="0" w:color="D8D0C4"/>
            </w:tcBorders>
            <w:shd w:val="clear" w:color="auto" w:fill="FAF8F4"/>
            <w:tcMar>
              <w:top w:w="130" w:type="dxa"/>
              <w:left w:w="170" w:type="dxa"/>
              <w:bottom w:w="120" w:type="dxa"/>
              <w:right w:w="170" w:type="dxa"/>
            </w:tcMar>
          </w:tcPr>
          <w:p w14:paraId="219E2FFA" w14:textId="77777777" w:rsidR="00E75E2A" w:rsidRPr="00D01C05" w:rsidRDefault="00000000">
            <w:pPr>
              <w:keepLines/>
              <w:spacing w:after="60" w:line="240" w:lineRule="auto"/>
              <w:rPr>
                <w:sz w:val="28"/>
                <w:szCs w:val="36"/>
              </w:rPr>
            </w:pPr>
            <w:r w:rsidRPr="00D01C05">
              <w:rPr>
                <w:b/>
                <w:color w:val="7A1F23"/>
                <w:sz w:val="28"/>
                <w:szCs w:val="36"/>
              </w:rPr>
              <w:t>The hidden network made visible</w:t>
            </w:r>
          </w:p>
          <w:p w14:paraId="4CA33CB2" w14:textId="77777777" w:rsidR="00E75E2A" w:rsidRPr="00D01C05" w:rsidRDefault="00000000">
            <w:pPr>
              <w:keepLines/>
              <w:spacing w:after="0" w:line="250" w:lineRule="auto"/>
              <w:rPr>
                <w:sz w:val="28"/>
                <w:szCs w:val="36"/>
              </w:rPr>
            </w:pPr>
            <w:r w:rsidRPr="00D01C05">
              <w:rPr>
                <w:color w:val="242424"/>
                <w:sz w:val="24"/>
                <w:szCs w:val="36"/>
              </w:rPr>
              <w:t>The book brings together Army Intelligence, RUC Special Branch, the UDR, MI5, MI6, psychological operations and loyalist networks in one connected picture.</w:t>
            </w:r>
          </w:p>
        </w:tc>
      </w:tr>
    </w:tbl>
    <w:p w14:paraId="798D63C1" w14:textId="77777777" w:rsidR="00D01C05" w:rsidRDefault="00D01C05">
      <w:pPr>
        <w:keepLines/>
        <w:spacing w:before="40" w:after="60" w:line="240" w:lineRule="auto"/>
        <w:rPr>
          <w:b/>
          <w:color w:val="7A1F23"/>
          <w:sz w:val="21"/>
        </w:rPr>
      </w:pPr>
    </w:p>
    <w:p w14:paraId="4BC17A6C" w14:textId="3185EACC" w:rsidR="00E75E2A" w:rsidRPr="00D01C05" w:rsidRDefault="00000000">
      <w:pPr>
        <w:keepLines/>
        <w:spacing w:before="40" w:after="60" w:line="240" w:lineRule="auto"/>
        <w:rPr>
          <w:sz w:val="24"/>
          <w:szCs w:val="32"/>
        </w:rPr>
      </w:pPr>
      <w:r w:rsidRPr="00D01C05">
        <w:rPr>
          <w:b/>
          <w:color w:val="7A1F23"/>
          <w:sz w:val="28"/>
          <w:szCs w:val="32"/>
        </w:rPr>
        <w:t>A powerful organising idea: “Operation Deny”</w:t>
      </w:r>
    </w:p>
    <w:p w14:paraId="251C2A90" w14:textId="40DD1178" w:rsidR="00D01C05" w:rsidRPr="00992508" w:rsidRDefault="00000000" w:rsidP="00992508">
      <w:pPr>
        <w:spacing w:after="120"/>
        <w:rPr>
          <w:sz w:val="28"/>
          <w:szCs w:val="36"/>
        </w:rPr>
      </w:pPr>
      <w:r w:rsidRPr="00D01C05">
        <w:rPr>
          <w:color w:val="242424"/>
          <w:sz w:val="24"/>
          <w:szCs w:val="36"/>
        </w:rPr>
        <w:t xml:space="preserve">The book uses Operation Deny as an analytical description - not the name of a formally declared operation - for a recurring </w:t>
      </w:r>
      <w:r w:rsidR="00992508">
        <w:rPr>
          <w:color w:val="242424"/>
          <w:sz w:val="24"/>
          <w:szCs w:val="36"/>
        </w:rPr>
        <w:t>British Paradigm</w:t>
      </w:r>
      <w:r w:rsidRPr="00D01C05">
        <w:rPr>
          <w:color w:val="242424"/>
          <w:sz w:val="24"/>
          <w:szCs w:val="36"/>
        </w:rPr>
        <w:t xml:space="preserve">: establish an early official account; protect sensitive institutions; narrow the evidence; resist disclosure; prolong proceedings; and concede only what </w:t>
      </w:r>
      <w:r w:rsidR="00992508">
        <w:rPr>
          <w:color w:val="242424"/>
          <w:sz w:val="24"/>
          <w:szCs w:val="36"/>
        </w:rPr>
        <w:t xml:space="preserve">has escaped, because of </w:t>
      </w:r>
      <w:r w:rsidRPr="00D01C05">
        <w:rPr>
          <w:color w:val="242424"/>
          <w:sz w:val="24"/>
          <w:szCs w:val="36"/>
        </w:rPr>
        <w:t>later inquiry, litigation or public pressure makes unavoidable. The pattern is examined through Ballymurphy, McGurk’s Bar, Bloody Sunday, Dublin and Monaghan, the Miami Showband massacre and the Reavey murders.</w:t>
      </w:r>
    </w:p>
    <w:p w14:paraId="19BC32CC" w14:textId="3D2DE7A3" w:rsidR="00E75E2A" w:rsidRPr="00D01C05" w:rsidRDefault="00000000">
      <w:pPr>
        <w:keepLines/>
        <w:spacing w:before="40" w:after="60" w:line="240" w:lineRule="auto"/>
        <w:rPr>
          <w:sz w:val="24"/>
          <w:szCs w:val="32"/>
        </w:rPr>
      </w:pPr>
      <w:r w:rsidRPr="00D01C05">
        <w:rPr>
          <w:b/>
          <w:color w:val="7A1F23"/>
          <w:sz w:val="28"/>
          <w:szCs w:val="32"/>
        </w:rPr>
        <w:t>What the investigation draws upon</w:t>
      </w:r>
    </w:p>
    <w:p w14:paraId="63F56D1C"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Official records, parliamentary proceedings, inquiry reports, court judgments and contemporary intelligence material.</w:t>
      </w:r>
    </w:p>
    <w:p w14:paraId="5967C36E"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Professional assessments from experienced British and Irish military explosives specialists.</w:t>
      </w:r>
    </w:p>
    <w:p w14:paraId="7CC14141"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Garda eyewitness testimony, survivor and family accounts, and the work of campaigners and investigative journalists.</w:t>
      </w:r>
    </w:p>
    <w:p w14:paraId="1CF142D7" w14:textId="77777777" w:rsidR="00E75E2A" w:rsidRPr="00D01C05" w:rsidRDefault="00000000">
      <w:pPr>
        <w:pStyle w:val="ListBullet"/>
        <w:keepLines/>
        <w:spacing w:after="40" w:line="250" w:lineRule="auto"/>
        <w:ind w:left="255" w:hanging="125"/>
        <w:rPr>
          <w:sz w:val="24"/>
          <w:szCs w:val="36"/>
        </w:rPr>
      </w:pPr>
      <w:r w:rsidRPr="00D01C05">
        <w:rPr>
          <w:color w:val="242424"/>
          <w:sz w:val="24"/>
          <w:szCs w:val="36"/>
        </w:rPr>
        <w:t>Detailed examination of UVF organisation, personnel, operational history and links with serving or former security-force members.</w:t>
      </w:r>
    </w:p>
    <w:p w14:paraId="6E9DFF0E" w14:textId="77777777" w:rsidR="00E75E2A" w:rsidRPr="004A53D4" w:rsidRDefault="00000000">
      <w:pPr>
        <w:pStyle w:val="ListBullet"/>
        <w:keepLines/>
        <w:spacing w:after="40" w:line="250" w:lineRule="auto"/>
        <w:ind w:left="255" w:hanging="125"/>
        <w:rPr>
          <w:sz w:val="24"/>
          <w:szCs w:val="36"/>
        </w:rPr>
      </w:pPr>
      <w:r w:rsidRPr="00D01C05">
        <w:rPr>
          <w:color w:val="242424"/>
          <w:sz w:val="24"/>
          <w:szCs w:val="36"/>
        </w:rPr>
        <w:t>A chronology extending from the political and security crisis of 1971-74 to the legacy and disclosure battles of 2025-26.</w:t>
      </w:r>
    </w:p>
    <w:p w14:paraId="0DFDC9CE" w14:textId="77777777" w:rsidR="004A53D4" w:rsidRPr="00D01C05" w:rsidRDefault="004A53D4" w:rsidP="004A53D4">
      <w:pPr>
        <w:pStyle w:val="ListBullet"/>
        <w:keepLines/>
        <w:numPr>
          <w:ilvl w:val="0"/>
          <w:numId w:val="0"/>
        </w:numPr>
        <w:spacing w:after="40" w:line="250" w:lineRule="auto"/>
        <w:ind w:left="255"/>
        <w:rPr>
          <w:sz w:val="24"/>
          <w:szCs w:val="36"/>
        </w:rPr>
      </w:pPr>
    </w:p>
    <w:tbl>
      <w:tblPr>
        <w:tblW w:w="0" w:type="auto"/>
        <w:jc w:val="center"/>
        <w:tblLook w:val="04A0" w:firstRow="1" w:lastRow="0" w:firstColumn="1" w:lastColumn="0" w:noHBand="0" w:noVBand="1"/>
      </w:tblPr>
      <w:tblGrid>
        <w:gridCol w:w="10148"/>
      </w:tblGrid>
      <w:tr w:rsidR="00E75E2A" w14:paraId="71CE6431" w14:textId="77777777">
        <w:trPr>
          <w:cantSplit/>
          <w:jc w:val="center"/>
        </w:trPr>
        <w:tc>
          <w:tcPr>
            <w:tcW w:w="10148" w:type="dxa"/>
            <w:tcBorders>
              <w:top w:val="nil"/>
              <w:left w:val="single" w:sz="18" w:space="0" w:color="7A1F23"/>
              <w:bottom w:val="nil"/>
              <w:right w:val="nil"/>
            </w:tcBorders>
            <w:shd w:val="clear" w:color="auto" w:fill="F3EFE7"/>
            <w:tcMar>
              <w:top w:w="130" w:type="dxa"/>
              <w:left w:w="220" w:type="dxa"/>
              <w:bottom w:w="120" w:type="dxa"/>
              <w:right w:w="220" w:type="dxa"/>
            </w:tcMar>
          </w:tcPr>
          <w:p w14:paraId="3E4EAAD5" w14:textId="77777777" w:rsidR="00E75E2A" w:rsidRDefault="00000000">
            <w:pPr>
              <w:keepLines/>
              <w:spacing w:after="80" w:line="247" w:lineRule="auto"/>
            </w:pPr>
            <w:r w:rsidRPr="004A53D4">
              <w:rPr>
                <w:rFonts w:ascii="Georgia" w:hAnsi="Georgia"/>
                <w:i/>
                <w:color w:val="242424"/>
                <w:sz w:val="24"/>
                <w:szCs w:val="24"/>
              </w:rPr>
              <w:t>“A lifetime of meticulous, disciplined policing experience at the highest level makes his perspective invaluable</w:t>
            </w:r>
            <w:r>
              <w:rPr>
                <w:rFonts w:ascii="Georgia" w:hAnsi="Georgia"/>
                <w:i/>
                <w:color w:val="242424"/>
                <w:sz w:val="22"/>
              </w:rPr>
              <w:t>.”</w:t>
            </w:r>
          </w:p>
          <w:p w14:paraId="6AFC72D6" w14:textId="77777777" w:rsidR="00E75E2A" w:rsidRDefault="00000000">
            <w:pPr>
              <w:keepLines/>
              <w:spacing w:after="0" w:line="240" w:lineRule="auto"/>
              <w:jc w:val="right"/>
            </w:pPr>
            <w:r w:rsidRPr="004A53D4">
              <w:rPr>
                <w:b/>
                <w:color w:val="7A1F23"/>
                <w:sz w:val="21"/>
                <w:szCs w:val="32"/>
              </w:rPr>
              <w:t>STEPHEN TRAVERS, AUTHOR AND SURVIVOR OF THE MIAMI SHOWBAND MASSACRE</w:t>
            </w:r>
          </w:p>
        </w:tc>
      </w:tr>
    </w:tbl>
    <w:p w14:paraId="54DCD2CC" w14:textId="77777777" w:rsidR="00D01C05" w:rsidRDefault="00D01C05">
      <w:pPr>
        <w:keepLines/>
        <w:spacing w:before="40" w:after="60" w:line="240" w:lineRule="auto"/>
        <w:rPr>
          <w:b/>
          <w:color w:val="7A1F23"/>
          <w:sz w:val="21"/>
        </w:rPr>
      </w:pPr>
    </w:p>
    <w:p w14:paraId="15E68DBC" w14:textId="4499A1B1" w:rsidR="00E75E2A" w:rsidRDefault="00000000">
      <w:pPr>
        <w:keepLines/>
        <w:spacing w:before="40" w:after="60" w:line="240" w:lineRule="auto"/>
      </w:pPr>
      <w:r>
        <w:rPr>
          <w:b/>
          <w:color w:val="7A1F23"/>
          <w:sz w:val="21"/>
        </w:rPr>
        <w:t>A clear and accessible voice</w:t>
      </w:r>
    </w:p>
    <w:p w14:paraId="48D8285C" w14:textId="77777777" w:rsidR="00E75E2A" w:rsidRPr="00D01C05" w:rsidRDefault="00000000">
      <w:pPr>
        <w:spacing w:after="40"/>
        <w:rPr>
          <w:sz w:val="28"/>
          <w:szCs w:val="36"/>
        </w:rPr>
      </w:pPr>
      <w:r w:rsidRPr="00D01C05">
        <w:rPr>
          <w:color w:val="242424"/>
          <w:sz w:val="24"/>
          <w:szCs w:val="36"/>
        </w:rPr>
        <w:t>The book is written for the general reader. It is morally engaged but careful with evidence, direct in its language and clear about the difference between proven fact, credible inference and unresolved allegation.</w:t>
      </w:r>
    </w:p>
    <w:p w14:paraId="04BA3799" w14:textId="77777777" w:rsidR="00E75E2A" w:rsidRPr="004A53D4" w:rsidRDefault="00000000">
      <w:pPr>
        <w:keepLines/>
        <w:spacing w:after="40" w:line="240" w:lineRule="auto"/>
        <w:rPr>
          <w:sz w:val="32"/>
          <w:szCs w:val="40"/>
        </w:rPr>
      </w:pPr>
      <w:r w:rsidRPr="004A53D4">
        <w:rPr>
          <w:b/>
          <w:color w:val="7A1F23"/>
          <w:sz w:val="24"/>
          <w:szCs w:val="40"/>
        </w:rPr>
        <w:t>THE WIDER APPEAL</w:t>
      </w:r>
    </w:p>
    <w:p w14:paraId="76F391A4" w14:textId="77777777" w:rsidR="00E75E2A" w:rsidRDefault="00000000">
      <w:pPr>
        <w:keepLines/>
        <w:pBdr>
          <w:bottom w:val="single" w:sz="8" w:space="4" w:color="7A1F23"/>
        </w:pBdr>
        <w:spacing w:after="160" w:line="240" w:lineRule="auto"/>
      </w:pPr>
      <w:r>
        <w:rPr>
          <w:rFonts w:ascii="Aptos Display" w:hAnsi="Aptos Display"/>
          <w:b/>
          <w:color w:val="242424"/>
          <w:sz w:val="40"/>
        </w:rPr>
        <w:lastRenderedPageBreak/>
        <w:t>Who Will Find This Book Compelling</w:t>
      </w:r>
    </w:p>
    <w:p w14:paraId="79272F18" w14:textId="77777777" w:rsidR="00E75E2A" w:rsidRPr="004A53D4" w:rsidRDefault="00000000">
      <w:pPr>
        <w:keepLines/>
        <w:spacing w:before="40" w:after="60" w:line="240" w:lineRule="auto"/>
        <w:rPr>
          <w:sz w:val="22"/>
          <w:szCs w:val="28"/>
        </w:rPr>
      </w:pPr>
      <w:r w:rsidRPr="004A53D4">
        <w:rPr>
          <w:b/>
          <w:color w:val="7A1F23"/>
          <w:sz w:val="24"/>
          <w:szCs w:val="28"/>
        </w:rPr>
        <w:t>Readers drawn to the human story</w:t>
      </w:r>
    </w:p>
    <w:tbl>
      <w:tblPr>
        <w:tblW w:w="0" w:type="auto"/>
        <w:jc w:val="center"/>
        <w:tblLayout w:type="fixed"/>
        <w:tblLook w:val="04A0" w:firstRow="1" w:lastRow="0" w:firstColumn="1" w:lastColumn="0" w:noHBand="0" w:noVBand="1"/>
      </w:tblPr>
      <w:tblGrid>
        <w:gridCol w:w="4620"/>
        <w:gridCol w:w="4620"/>
      </w:tblGrid>
      <w:tr w:rsidR="00E75E2A" w14:paraId="6423B1B4" w14:textId="77777777">
        <w:trPr>
          <w:cantSplit/>
          <w:jc w:val="center"/>
        </w:trPr>
        <w:tc>
          <w:tcPr>
            <w:tcW w:w="4620" w:type="dxa"/>
            <w:tcBorders>
              <w:top w:val="single" w:sz="5" w:space="0" w:color="D8D0C4"/>
              <w:left w:val="single" w:sz="5" w:space="0" w:color="D8D0C4"/>
              <w:bottom w:val="single" w:sz="5" w:space="0" w:color="D8D0C4"/>
              <w:right w:val="single" w:sz="5" w:space="0" w:color="D8D0C4"/>
            </w:tcBorders>
            <w:shd w:val="clear" w:color="auto" w:fill="FAF8F4"/>
            <w:tcMar>
              <w:top w:w="120" w:type="dxa"/>
              <w:left w:w="150" w:type="dxa"/>
              <w:bottom w:w="110" w:type="dxa"/>
              <w:right w:w="150" w:type="dxa"/>
            </w:tcMar>
          </w:tcPr>
          <w:p w14:paraId="6F46A8EC" w14:textId="77777777" w:rsidR="00E75E2A" w:rsidRPr="004A53D4" w:rsidRDefault="00000000">
            <w:pPr>
              <w:keepLines/>
              <w:spacing w:after="40" w:line="240" w:lineRule="auto"/>
              <w:rPr>
                <w:sz w:val="24"/>
                <w:szCs w:val="36"/>
              </w:rPr>
            </w:pPr>
            <w:r w:rsidRPr="004A53D4">
              <w:rPr>
                <w:b/>
                <w:color w:val="7A1F23"/>
                <w:sz w:val="24"/>
                <w:szCs w:val="36"/>
              </w:rPr>
              <w:t>Readers of Irish history</w:t>
            </w:r>
          </w:p>
          <w:p w14:paraId="04CB53A8" w14:textId="77777777" w:rsidR="00E75E2A" w:rsidRPr="004A53D4" w:rsidRDefault="00000000">
            <w:pPr>
              <w:keepLines/>
              <w:spacing w:after="0" w:line="247" w:lineRule="auto"/>
              <w:rPr>
                <w:sz w:val="24"/>
                <w:szCs w:val="36"/>
              </w:rPr>
            </w:pPr>
            <w:r w:rsidRPr="004A53D4">
              <w:rPr>
                <w:color w:val="242424"/>
                <w:sz w:val="24"/>
                <w:szCs w:val="36"/>
              </w:rPr>
              <w:t>Anyone interested in the Troubles, modern Ireland, policing, politics and unresolved legacy cases.</w:t>
            </w:r>
          </w:p>
        </w:tc>
        <w:tc>
          <w:tcPr>
            <w:tcW w:w="4620" w:type="dxa"/>
            <w:tcBorders>
              <w:top w:val="single" w:sz="5" w:space="0" w:color="D8D0C4"/>
              <w:left w:val="single" w:sz="5" w:space="0" w:color="D8D0C4"/>
              <w:bottom w:val="single" w:sz="5" w:space="0" w:color="D8D0C4"/>
              <w:right w:val="single" w:sz="5" w:space="0" w:color="D8D0C4"/>
            </w:tcBorders>
            <w:shd w:val="clear" w:color="auto" w:fill="FAF8F4"/>
            <w:tcMar>
              <w:top w:w="120" w:type="dxa"/>
              <w:left w:w="150" w:type="dxa"/>
              <w:bottom w:w="110" w:type="dxa"/>
              <w:right w:w="150" w:type="dxa"/>
            </w:tcMar>
          </w:tcPr>
          <w:p w14:paraId="0755197E" w14:textId="77777777" w:rsidR="00E75E2A" w:rsidRPr="004A53D4" w:rsidRDefault="00000000">
            <w:pPr>
              <w:keepLines/>
              <w:spacing w:after="40" w:line="240" w:lineRule="auto"/>
              <w:rPr>
                <w:sz w:val="24"/>
                <w:szCs w:val="36"/>
              </w:rPr>
            </w:pPr>
            <w:r w:rsidRPr="004A53D4">
              <w:rPr>
                <w:b/>
                <w:color w:val="7A1F23"/>
                <w:sz w:val="24"/>
                <w:szCs w:val="36"/>
              </w:rPr>
              <w:t>Readers of British political history</w:t>
            </w:r>
          </w:p>
          <w:p w14:paraId="66BFB8DC" w14:textId="77777777" w:rsidR="00E75E2A" w:rsidRPr="004A53D4" w:rsidRDefault="00000000">
            <w:pPr>
              <w:keepLines/>
              <w:spacing w:after="0" w:line="247" w:lineRule="auto"/>
              <w:rPr>
                <w:sz w:val="24"/>
                <w:szCs w:val="36"/>
              </w:rPr>
            </w:pPr>
            <w:r w:rsidRPr="004A53D4">
              <w:rPr>
                <w:color w:val="242424"/>
                <w:sz w:val="24"/>
                <w:szCs w:val="36"/>
              </w:rPr>
              <w:t>Those interested in government, intelligence, counter-insurgency, covert operations and state accountability.</w:t>
            </w:r>
          </w:p>
        </w:tc>
      </w:tr>
      <w:tr w:rsidR="00E75E2A" w14:paraId="22F2C65C" w14:textId="77777777">
        <w:trPr>
          <w:cantSplit/>
          <w:jc w:val="center"/>
        </w:trPr>
        <w:tc>
          <w:tcPr>
            <w:tcW w:w="4620" w:type="dxa"/>
            <w:tcBorders>
              <w:top w:val="single" w:sz="5" w:space="0" w:color="D8D0C4"/>
              <w:left w:val="single" w:sz="5" w:space="0" w:color="D8D0C4"/>
              <w:bottom w:val="single" w:sz="5" w:space="0" w:color="D8D0C4"/>
              <w:right w:val="single" w:sz="5" w:space="0" w:color="D8D0C4"/>
            </w:tcBorders>
            <w:shd w:val="clear" w:color="auto" w:fill="FAF8F4"/>
            <w:tcMar>
              <w:top w:w="120" w:type="dxa"/>
              <w:left w:w="150" w:type="dxa"/>
              <w:bottom w:w="110" w:type="dxa"/>
              <w:right w:w="150" w:type="dxa"/>
            </w:tcMar>
          </w:tcPr>
          <w:p w14:paraId="486521CE" w14:textId="77777777" w:rsidR="00E75E2A" w:rsidRPr="004A53D4" w:rsidRDefault="00000000">
            <w:pPr>
              <w:keepLines/>
              <w:spacing w:after="40" w:line="240" w:lineRule="auto"/>
              <w:rPr>
                <w:sz w:val="24"/>
                <w:szCs w:val="36"/>
              </w:rPr>
            </w:pPr>
            <w:r w:rsidRPr="004A53D4">
              <w:rPr>
                <w:b/>
                <w:color w:val="7A1F23"/>
                <w:sz w:val="24"/>
                <w:szCs w:val="36"/>
              </w:rPr>
              <w:t>True-crime readers</w:t>
            </w:r>
          </w:p>
          <w:p w14:paraId="6ACEA663" w14:textId="77777777" w:rsidR="00E75E2A" w:rsidRPr="004A53D4" w:rsidRDefault="00000000">
            <w:pPr>
              <w:keepLines/>
              <w:spacing w:after="0" w:line="247" w:lineRule="auto"/>
              <w:rPr>
                <w:sz w:val="24"/>
                <w:szCs w:val="36"/>
              </w:rPr>
            </w:pPr>
            <w:r w:rsidRPr="004A53D4">
              <w:rPr>
                <w:color w:val="242424"/>
                <w:sz w:val="24"/>
                <w:szCs w:val="36"/>
              </w:rPr>
              <w:t>A real unsolved mass-casualty case reconstructed through evidence, witnesses, technical analysis and institutional secrecy.</w:t>
            </w:r>
          </w:p>
        </w:tc>
        <w:tc>
          <w:tcPr>
            <w:tcW w:w="4620" w:type="dxa"/>
            <w:tcBorders>
              <w:top w:val="single" w:sz="5" w:space="0" w:color="D8D0C4"/>
              <w:left w:val="single" w:sz="5" w:space="0" w:color="D8D0C4"/>
              <w:bottom w:val="single" w:sz="5" w:space="0" w:color="D8D0C4"/>
              <w:right w:val="single" w:sz="5" w:space="0" w:color="D8D0C4"/>
            </w:tcBorders>
            <w:shd w:val="clear" w:color="auto" w:fill="FAF8F4"/>
            <w:tcMar>
              <w:top w:w="120" w:type="dxa"/>
              <w:left w:w="150" w:type="dxa"/>
              <w:bottom w:w="110" w:type="dxa"/>
              <w:right w:w="150" w:type="dxa"/>
            </w:tcMar>
          </w:tcPr>
          <w:p w14:paraId="14D219E8" w14:textId="77777777" w:rsidR="00E75E2A" w:rsidRPr="004A53D4" w:rsidRDefault="00000000">
            <w:pPr>
              <w:keepLines/>
              <w:spacing w:after="40" w:line="240" w:lineRule="auto"/>
              <w:rPr>
                <w:sz w:val="24"/>
                <w:szCs w:val="36"/>
              </w:rPr>
            </w:pPr>
            <w:r w:rsidRPr="004A53D4">
              <w:rPr>
                <w:b/>
                <w:color w:val="7A1F23"/>
                <w:sz w:val="24"/>
                <w:szCs w:val="36"/>
              </w:rPr>
              <w:t>Families, students and researchers</w:t>
            </w:r>
          </w:p>
          <w:p w14:paraId="5B388929" w14:textId="77777777" w:rsidR="00E75E2A" w:rsidRPr="004A53D4" w:rsidRDefault="00000000">
            <w:pPr>
              <w:keepLines/>
              <w:spacing w:after="0" w:line="247" w:lineRule="auto"/>
              <w:rPr>
                <w:sz w:val="24"/>
                <w:szCs w:val="36"/>
              </w:rPr>
            </w:pPr>
            <w:r w:rsidRPr="004A53D4">
              <w:rPr>
                <w:color w:val="242424"/>
                <w:sz w:val="24"/>
                <w:szCs w:val="36"/>
              </w:rPr>
              <w:t>An accessible account for the public, libraries, universities, historical societies and the Irish diaspora.</w:t>
            </w:r>
          </w:p>
        </w:tc>
      </w:tr>
    </w:tbl>
    <w:p w14:paraId="56B07071" w14:textId="77777777" w:rsidR="00E75E2A" w:rsidRPr="004A53D4" w:rsidRDefault="00000000">
      <w:pPr>
        <w:keepLines/>
        <w:spacing w:before="40" w:after="60" w:line="240" w:lineRule="auto"/>
        <w:rPr>
          <w:sz w:val="22"/>
          <w:szCs w:val="28"/>
        </w:rPr>
      </w:pPr>
      <w:r w:rsidRPr="004A53D4">
        <w:rPr>
          <w:b/>
          <w:color w:val="7A1F23"/>
          <w:sz w:val="24"/>
          <w:szCs w:val="28"/>
        </w:rPr>
        <w:t>Why the book stands out</w:t>
      </w:r>
    </w:p>
    <w:p w14:paraId="49D681A8" w14:textId="77777777" w:rsidR="00E75E2A" w:rsidRDefault="00000000">
      <w:pPr>
        <w:rPr>
          <w:color w:val="242424"/>
          <w:sz w:val="24"/>
          <w:szCs w:val="36"/>
        </w:rPr>
      </w:pPr>
      <w:r w:rsidRPr="004A53D4">
        <w:rPr>
          <w:color w:val="242424"/>
          <w:sz w:val="24"/>
          <w:szCs w:val="36"/>
        </w:rPr>
        <w:t>This is more than a history of a single atrocity. It connects the mechanics of the crime to the political crisis surrounding it, the intelligence system operating around loyalist organisations, and the long struggle by families and campaigners to secure disclosure and accountability.</w:t>
      </w:r>
    </w:p>
    <w:p w14:paraId="00EB19E0" w14:textId="32CF9D71" w:rsidR="00C151A7" w:rsidRPr="004A53D4" w:rsidRDefault="00C151A7">
      <w:pPr>
        <w:rPr>
          <w:sz w:val="28"/>
          <w:szCs w:val="36"/>
        </w:rPr>
      </w:pPr>
      <w:r>
        <w:rPr>
          <w:b/>
          <w:color w:val="7A1F23"/>
          <w:sz w:val="24"/>
          <w:szCs w:val="28"/>
        </w:rPr>
        <w:t>A Road Explored in the Past – Some Contribut</w:t>
      </w:r>
      <w:r w:rsidR="00543BC3">
        <w:rPr>
          <w:b/>
          <w:color w:val="7A1F23"/>
          <w:sz w:val="24"/>
          <w:szCs w:val="28"/>
        </w:rPr>
        <w:t>ers</w:t>
      </w:r>
    </w:p>
    <w:tbl>
      <w:tblPr>
        <w:tblW w:w="9237" w:type="dxa"/>
        <w:jc w:val="center"/>
        <w:tblLayout w:type="fixed"/>
        <w:tblLook w:val="04A0" w:firstRow="1" w:lastRow="0" w:firstColumn="1" w:lastColumn="0" w:noHBand="0" w:noVBand="1"/>
      </w:tblPr>
      <w:tblGrid>
        <w:gridCol w:w="2349"/>
        <w:gridCol w:w="2296"/>
        <w:gridCol w:w="2296"/>
        <w:gridCol w:w="2296"/>
      </w:tblGrid>
      <w:tr w:rsidR="006311AC" w14:paraId="5E359A21" w14:textId="77777777" w:rsidTr="004537DC">
        <w:trPr>
          <w:cantSplit/>
          <w:jc w:val="center"/>
        </w:trPr>
        <w:tc>
          <w:tcPr>
            <w:tcW w:w="2349" w:type="dxa"/>
            <w:tcBorders>
              <w:top w:val="single" w:sz="4" w:space="0" w:color="D8D0C4"/>
              <w:left w:val="single" w:sz="4" w:space="0" w:color="D8D0C4"/>
              <w:bottom w:val="single" w:sz="4" w:space="0" w:color="D8D0C4"/>
              <w:right w:val="single" w:sz="4" w:space="0" w:color="D8D0C4"/>
            </w:tcBorders>
            <w:shd w:val="clear" w:color="auto" w:fill="F3EFE7"/>
            <w:tcMar>
              <w:top w:w="110" w:type="dxa"/>
              <w:left w:w="100" w:type="dxa"/>
              <w:bottom w:w="100" w:type="dxa"/>
              <w:right w:w="100" w:type="dxa"/>
            </w:tcMar>
          </w:tcPr>
          <w:p w14:paraId="6A330336" w14:textId="77777777" w:rsidR="006311AC" w:rsidRPr="00C151A7" w:rsidRDefault="006311AC" w:rsidP="00C151A7">
            <w:pPr>
              <w:keepLines/>
              <w:spacing w:after="40" w:line="240" w:lineRule="auto"/>
              <w:jc w:val="center"/>
              <w:rPr>
                <w:rFonts w:ascii="Georgia" w:hAnsi="Georgia"/>
                <w:b/>
                <w:bCs/>
                <w:i/>
                <w:iCs/>
                <w:color w:val="000000" w:themeColor="text1"/>
                <w:sz w:val="24"/>
                <w:szCs w:val="24"/>
              </w:rPr>
            </w:pPr>
            <w:r w:rsidRPr="00C151A7">
              <w:rPr>
                <w:rFonts w:ascii="Georgia" w:hAnsi="Georgia"/>
                <w:b/>
                <w:bCs/>
                <w:i/>
                <w:iCs/>
                <w:color w:val="000000" w:themeColor="text1"/>
                <w:sz w:val="24"/>
                <w:szCs w:val="24"/>
              </w:rPr>
              <w:t>Dublin and Monaghan Bombings</w:t>
            </w:r>
          </w:p>
          <w:p w14:paraId="420F17AB" w14:textId="77777777" w:rsidR="006311AC" w:rsidRPr="00642553" w:rsidRDefault="006311AC" w:rsidP="00C151A7">
            <w:pPr>
              <w:keepLines/>
              <w:spacing w:after="40" w:line="240" w:lineRule="auto"/>
              <w:jc w:val="center"/>
              <w:rPr>
                <w:rFonts w:ascii="Georgia" w:hAnsi="Georgia"/>
                <w:b/>
                <w:bCs/>
                <w:sz w:val="24"/>
                <w:szCs w:val="24"/>
              </w:rPr>
            </w:pPr>
            <w:r w:rsidRPr="00642553">
              <w:rPr>
                <w:rFonts w:ascii="Georgia" w:hAnsi="Georgia"/>
                <w:b/>
                <w:bCs/>
                <w:color w:val="7A1F23"/>
                <w:sz w:val="24"/>
                <w:szCs w:val="24"/>
              </w:rPr>
              <w:t>Joe Tiernan</w:t>
            </w:r>
          </w:p>
          <w:p w14:paraId="2B9C5FC7" w14:textId="00F6B229" w:rsidR="006311AC" w:rsidRPr="004A53D4" w:rsidRDefault="006311AC" w:rsidP="00C151A7">
            <w:pPr>
              <w:keepLines/>
              <w:spacing w:after="0" w:line="245" w:lineRule="auto"/>
              <w:rPr>
                <w:sz w:val="24"/>
                <w:szCs w:val="36"/>
              </w:rPr>
            </w:pPr>
            <w:r w:rsidRPr="006311AC">
              <w:rPr>
                <w:color w:val="5D5D5D"/>
                <w:sz w:val="21"/>
                <w:szCs w:val="32"/>
              </w:rPr>
              <w:t>Superb Ethnographic Research</w:t>
            </w:r>
            <w:r>
              <w:rPr>
                <w:color w:val="5D5D5D"/>
                <w:sz w:val="21"/>
                <w:szCs w:val="32"/>
              </w:rPr>
              <w:t xml:space="preserve"> - Unique</w:t>
            </w:r>
          </w:p>
        </w:tc>
        <w:tc>
          <w:tcPr>
            <w:tcW w:w="2296" w:type="dxa"/>
            <w:tcBorders>
              <w:top w:val="single" w:sz="4" w:space="0" w:color="D8D0C4"/>
              <w:left w:val="single" w:sz="4" w:space="0" w:color="D8D0C4"/>
              <w:bottom w:val="single" w:sz="4" w:space="0" w:color="D8D0C4"/>
              <w:right w:val="single" w:sz="4" w:space="0" w:color="D8D0C4"/>
            </w:tcBorders>
            <w:shd w:val="clear" w:color="auto" w:fill="F3EFE7"/>
            <w:tcMar>
              <w:top w:w="110" w:type="dxa"/>
              <w:left w:w="100" w:type="dxa"/>
              <w:bottom w:w="100" w:type="dxa"/>
              <w:right w:w="100" w:type="dxa"/>
            </w:tcMar>
          </w:tcPr>
          <w:p w14:paraId="407462AA" w14:textId="035C04C4" w:rsidR="00543BC3" w:rsidRPr="00543BC3" w:rsidRDefault="00543BC3" w:rsidP="00543BC3">
            <w:pPr>
              <w:keepLines/>
              <w:spacing w:after="20" w:line="240" w:lineRule="auto"/>
              <w:jc w:val="center"/>
              <w:rPr>
                <w:sz w:val="24"/>
                <w:szCs w:val="24"/>
              </w:rPr>
            </w:pPr>
            <w:r w:rsidRPr="00543BC3">
              <w:rPr>
                <w:rFonts w:ascii="Georgia" w:hAnsi="Georgia"/>
                <w:b/>
                <w:i/>
                <w:color w:val="242424"/>
                <w:sz w:val="24"/>
                <w:szCs w:val="24"/>
              </w:rPr>
              <w:t xml:space="preserve"> Lethal Allies</w:t>
            </w:r>
          </w:p>
          <w:p w14:paraId="4BF9E188" w14:textId="77777777" w:rsidR="00543BC3" w:rsidRPr="00642553" w:rsidRDefault="00543BC3" w:rsidP="00543BC3">
            <w:pPr>
              <w:keepLines/>
              <w:spacing w:after="40" w:line="240" w:lineRule="auto"/>
              <w:jc w:val="center"/>
              <w:rPr>
                <w:rFonts w:ascii="Georgia" w:hAnsi="Georgia"/>
                <w:b/>
                <w:bCs/>
                <w:sz w:val="24"/>
                <w:szCs w:val="24"/>
              </w:rPr>
            </w:pPr>
            <w:r w:rsidRPr="00642553">
              <w:rPr>
                <w:rFonts w:ascii="Georgia" w:hAnsi="Georgia"/>
                <w:b/>
                <w:bCs/>
                <w:color w:val="7A1F23"/>
                <w:sz w:val="24"/>
                <w:szCs w:val="24"/>
              </w:rPr>
              <w:t>Anne Cadwallader</w:t>
            </w:r>
          </w:p>
          <w:p w14:paraId="62EDE895" w14:textId="6611E001" w:rsidR="006311AC" w:rsidRPr="00543BC3" w:rsidRDefault="00543BC3" w:rsidP="00543BC3">
            <w:pPr>
              <w:keepLines/>
              <w:spacing w:after="0" w:line="245" w:lineRule="auto"/>
              <w:jc w:val="center"/>
              <w:rPr>
                <w:sz w:val="21"/>
                <w:szCs w:val="21"/>
              </w:rPr>
            </w:pPr>
            <w:r w:rsidRPr="00543BC3">
              <w:rPr>
                <w:color w:val="5D5D5D"/>
                <w:sz w:val="21"/>
                <w:szCs w:val="21"/>
              </w:rPr>
              <w:t>Security-force/loyalist overlap and the Glenanne network</w:t>
            </w:r>
            <w:r>
              <w:rPr>
                <w:color w:val="5D5D5D"/>
                <w:sz w:val="21"/>
                <w:szCs w:val="21"/>
              </w:rPr>
              <w:t>. Making the Connections.</w:t>
            </w:r>
          </w:p>
        </w:tc>
        <w:tc>
          <w:tcPr>
            <w:tcW w:w="2296" w:type="dxa"/>
            <w:tcBorders>
              <w:top w:val="single" w:sz="4" w:space="0" w:color="D8D0C4"/>
              <w:left w:val="single" w:sz="4" w:space="0" w:color="D8D0C4"/>
              <w:bottom w:val="single" w:sz="4" w:space="0" w:color="D8D0C4"/>
              <w:right w:val="single" w:sz="4" w:space="0" w:color="D8D0C4"/>
            </w:tcBorders>
            <w:shd w:val="clear" w:color="auto" w:fill="F3EFE7"/>
          </w:tcPr>
          <w:p w14:paraId="544B8165" w14:textId="77777777" w:rsidR="006311AC" w:rsidRPr="00C151A7" w:rsidRDefault="006311AC" w:rsidP="00C151A7">
            <w:pPr>
              <w:keepLines/>
              <w:spacing w:after="20" w:line="240" w:lineRule="auto"/>
              <w:jc w:val="center"/>
              <w:rPr>
                <w:sz w:val="24"/>
                <w:szCs w:val="24"/>
              </w:rPr>
            </w:pPr>
            <w:r w:rsidRPr="00C151A7">
              <w:rPr>
                <w:rFonts w:ascii="Georgia" w:hAnsi="Georgia"/>
                <w:b/>
                <w:i/>
                <w:color w:val="242424"/>
                <w:sz w:val="24"/>
                <w:szCs w:val="24"/>
              </w:rPr>
              <w:t xml:space="preserve">The Bass Player </w:t>
            </w:r>
          </w:p>
          <w:p w14:paraId="6FAFE418" w14:textId="77777777" w:rsidR="006311AC" w:rsidRPr="00642553" w:rsidRDefault="006311AC" w:rsidP="00C151A7">
            <w:pPr>
              <w:keepLines/>
              <w:spacing w:after="40" w:line="240" w:lineRule="auto"/>
              <w:jc w:val="center"/>
              <w:rPr>
                <w:rFonts w:ascii="Georgia" w:hAnsi="Georgia"/>
                <w:b/>
                <w:bCs/>
                <w:sz w:val="24"/>
                <w:szCs w:val="24"/>
              </w:rPr>
            </w:pPr>
            <w:r w:rsidRPr="00642553">
              <w:rPr>
                <w:rFonts w:ascii="Georgia" w:hAnsi="Georgia"/>
                <w:b/>
                <w:bCs/>
                <w:color w:val="7A1F23"/>
                <w:sz w:val="24"/>
                <w:szCs w:val="24"/>
              </w:rPr>
              <w:t>Stephen Travers</w:t>
            </w:r>
          </w:p>
          <w:p w14:paraId="72639D4B" w14:textId="01354B34" w:rsidR="006311AC" w:rsidRPr="00C151A7" w:rsidRDefault="006311AC" w:rsidP="00642553">
            <w:pPr>
              <w:keepLines/>
              <w:spacing w:after="0" w:line="245" w:lineRule="auto"/>
              <w:jc w:val="center"/>
              <w:rPr>
                <w:sz w:val="24"/>
                <w:szCs w:val="24"/>
              </w:rPr>
            </w:pPr>
            <w:r w:rsidRPr="006311AC">
              <w:rPr>
                <w:color w:val="5D5D5D"/>
                <w:sz w:val="21"/>
                <w:szCs w:val="21"/>
              </w:rPr>
              <w:t>Miami Showband Massacre Survivor and Lifelong Advocate for Justice</w:t>
            </w:r>
          </w:p>
        </w:tc>
        <w:tc>
          <w:tcPr>
            <w:tcW w:w="2296" w:type="dxa"/>
            <w:tcBorders>
              <w:top w:val="single" w:sz="4" w:space="0" w:color="D8D0C4"/>
              <w:left w:val="single" w:sz="4" w:space="0" w:color="D8D0C4"/>
              <w:bottom w:val="single" w:sz="4" w:space="0" w:color="D8D0C4"/>
              <w:right w:val="single" w:sz="4" w:space="0" w:color="D8D0C4"/>
            </w:tcBorders>
            <w:shd w:val="clear" w:color="auto" w:fill="F3EFE7"/>
            <w:tcMar>
              <w:top w:w="110" w:type="dxa"/>
              <w:left w:w="100" w:type="dxa"/>
              <w:bottom w:w="100" w:type="dxa"/>
              <w:right w:w="100" w:type="dxa"/>
            </w:tcMar>
          </w:tcPr>
          <w:p w14:paraId="4FD649B6" w14:textId="77777777" w:rsidR="006311AC" w:rsidRDefault="006311AC" w:rsidP="00C151A7">
            <w:pPr>
              <w:keepLines/>
              <w:spacing w:after="0" w:line="245" w:lineRule="auto"/>
              <w:rPr>
                <w:rFonts w:ascii="Georgia" w:hAnsi="Georgia"/>
                <w:b/>
                <w:i/>
                <w:color w:val="242424"/>
                <w:sz w:val="24"/>
                <w:szCs w:val="36"/>
              </w:rPr>
            </w:pPr>
            <w:r>
              <w:rPr>
                <w:rFonts w:ascii="Georgia" w:hAnsi="Georgia"/>
                <w:b/>
                <w:i/>
                <w:color w:val="242424"/>
                <w:sz w:val="24"/>
                <w:szCs w:val="36"/>
              </w:rPr>
              <w:t>The Great Deception</w:t>
            </w:r>
          </w:p>
          <w:p w14:paraId="27286828" w14:textId="77777777" w:rsidR="006311AC" w:rsidRPr="00642553" w:rsidRDefault="006311AC" w:rsidP="00C151A7">
            <w:pPr>
              <w:keepLines/>
              <w:spacing w:after="0" w:line="245" w:lineRule="auto"/>
              <w:rPr>
                <w:rFonts w:ascii="Georgia" w:hAnsi="Georgia"/>
                <w:b/>
                <w:bCs/>
                <w:color w:val="7A1F23"/>
                <w:sz w:val="24"/>
                <w:szCs w:val="36"/>
              </w:rPr>
            </w:pPr>
            <w:r w:rsidRPr="00642553">
              <w:rPr>
                <w:rFonts w:ascii="Georgia" w:hAnsi="Georgia"/>
                <w:b/>
                <w:bCs/>
                <w:color w:val="7A1F23"/>
                <w:sz w:val="24"/>
                <w:szCs w:val="36"/>
              </w:rPr>
              <w:t>John O’Brien</w:t>
            </w:r>
          </w:p>
          <w:p w14:paraId="37BCB9ED" w14:textId="35047F68" w:rsidR="006311AC" w:rsidRPr="004A53D4" w:rsidRDefault="006311AC" w:rsidP="00C151A7">
            <w:pPr>
              <w:keepLines/>
              <w:spacing w:after="0" w:line="245" w:lineRule="auto"/>
              <w:rPr>
                <w:sz w:val="24"/>
                <w:szCs w:val="36"/>
              </w:rPr>
            </w:pPr>
            <w:r>
              <w:rPr>
                <w:color w:val="5D5D5D"/>
                <w:sz w:val="21"/>
                <w:szCs w:val="28"/>
              </w:rPr>
              <w:t>Setting the Legacy Agenda for Operation Deny</w:t>
            </w:r>
          </w:p>
        </w:tc>
      </w:tr>
    </w:tbl>
    <w:p w14:paraId="4966C672" w14:textId="2AF3117E" w:rsidR="00E75E2A" w:rsidRPr="004A53D4" w:rsidRDefault="00000000">
      <w:pPr>
        <w:keepLines/>
        <w:spacing w:before="40" w:after="60" w:line="240" w:lineRule="auto"/>
        <w:rPr>
          <w:sz w:val="22"/>
          <w:szCs w:val="28"/>
        </w:rPr>
      </w:pPr>
      <w:r w:rsidRPr="004A53D4">
        <w:rPr>
          <w:b/>
          <w:color w:val="7A1F23"/>
          <w:sz w:val="24"/>
          <w:szCs w:val="28"/>
        </w:rPr>
        <w:t>A story with continuing relevance</w:t>
      </w:r>
    </w:p>
    <w:p w14:paraId="06D7D0D2" w14:textId="77777777" w:rsidR="00E75E2A" w:rsidRPr="004A53D4" w:rsidRDefault="00000000">
      <w:pPr>
        <w:pStyle w:val="ListBullet"/>
        <w:keepLines/>
        <w:spacing w:after="40" w:line="250" w:lineRule="auto"/>
        <w:ind w:left="255" w:hanging="125"/>
        <w:rPr>
          <w:sz w:val="24"/>
          <w:szCs w:val="36"/>
        </w:rPr>
      </w:pPr>
      <w:r w:rsidRPr="004A53D4">
        <w:rPr>
          <w:color w:val="242424"/>
          <w:sz w:val="24"/>
          <w:szCs w:val="36"/>
        </w:rPr>
        <w:t>Written by a former senior detective with direct experience of criminal investigation, state security and international police cooperation.</w:t>
      </w:r>
    </w:p>
    <w:p w14:paraId="2072ADC1" w14:textId="77777777" w:rsidR="00E75E2A" w:rsidRPr="004A53D4" w:rsidRDefault="00000000">
      <w:pPr>
        <w:pStyle w:val="ListBullet"/>
        <w:keepLines/>
        <w:spacing w:after="40" w:line="250" w:lineRule="auto"/>
        <w:ind w:left="255" w:hanging="125"/>
        <w:rPr>
          <w:sz w:val="24"/>
          <w:szCs w:val="36"/>
        </w:rPr>
      </w:pPr>
      <w:r w:rsidRPr="004A53D4">
        <w:rPr>
          <w:color w:val="242424"/>
          <w:sz w:val="24"/>
          <w:szCs w:val="36"/>
        </w:rPr>
        <w:t>Introduced by Stephen Travers, survivor of the Miami Showband massacre, and concluded by Colin Wallace, a former British Army information officer.</w:t>
      </w:r>
    </w:p>
    <w:p w14:paraId="6A80980E" w14:textId="77777777" w:rsidR="00E75E2A" w:rsidRPr="004A53D4" w:rsidRDefault="00000000">
      <w:pPr>
        <w:pStyle w:val="ListBullet"/>
        <w:keepLines/>
        <w:spacing w:after="40" w:line="250" w:lineRule="auto"/>
        <w:ind w:left="255" w:hanging="125"/>
        <w:rPr>
          <w:sz w:val="24"/>
          <w:szCs w:val="36"/>
        </w:rPr>
      </w:pPr>
      <w:r w:rsidRPr="004A53D4">
        <w:rPr>
          <w:color w:val="242424"/>
          <w:sz w:val="24"/>
          <w:szCs w:val="36"/>
        </w:rPr>
        <w:t>Combines personal testimony, forensic reconstruction, political history and the continuing controversy over intelligence and state secrecy.</w:t>
      </w:r>
    </w:p>
    <w:p w14:paraId="62565435" w14:textId="77777777" w:rsidR="00E75E2A" w:rsidRPr="004A53D4" w:rsidRDefault="00000000">
      <w:pPr>
        <w:pStyle w:val="ListBullet"/>
        <w:keepLines/>
        <w:spacing w:after="40" w:line="250" w:lineRule="auto"/>
        <w:ind w:left="255" w:hanging="125"/>
        <w:rPr>
          <w:sz w:val="24"/>
          <w:szCs w:val="36"/>
        </w:rPr>
      </w:pPr>
      <w:r w:rsidRPr="004A53D4">
        <w:rPr>
          <w:color w:val="242424"/>
          <w:sz w:val="24"/>
          <w:szCs w:val="36"/>
        </w:rPr>
        <w:t>Connects naturally with public commemorations, history events, book festivals, universities, podcasts, radio, television and Irish diaspora audiences.</w:t>
      </w:r>
    </w:p>
    <w:p w14:paraId="535932A0" w14:textId="31D7AD3D" w:rsidR="004A53D4" w:rsidRDefault="00000000" w:rsidP="004A53D4">
      <w:pPr>
        <w:pStyle w:val="ListBullet"/>
        <w:keepLines/>
        <w:spacing w:after="40" w:line="250" w:lineRule="auto"/>
        <w:ind w:left="255" w:hanging="125"/>
      </w:pPr>
      <w:r w:rsidRPr="004A53D4">
        <w:rPr>
          <w:color w:val="242424"/>
          <w:sz w:val="24"/>
          <w:szCs w:val="36"/>
        </w:rPr>
        <w:t>Offers strong documentary and audio potential through its central mystery, archival material, eyewitness voices and multi-decade investigative journey</w:t>
      </w:r>
      <w:r>
        <w:rPr>
          <w:color w:val="242424"/>
          <w:sz w:val="18"/>
        </w:rPr>
        <w:t>.</w:t>
      </w:r>
    </w:p>
    <w:p w14:paraId="7507D77A" w14:textId="77777777" w:rsidR="004A53D4" w:rsidRDefault="004A53D4" w:rsidP="004A53D4">
      <w:pPr>
        <w:pStyle w:val="ListBullet"/>
        <w:keepLines/>
        <w:numPr>
          <w:ilvl w:val="0"/>
          <w:numId w:val="0"/>
        </w:numPr>
        <w:spacing w:after="40" w:line="250" w:lineRule="auto"/>
        <w:ind w:left="255"/>
      </w:pPr>
    </w:p>
    <w:p w14:paraId="2A8E23B6" w14:textId="77777777" w:rsidR="00E75E2A" w:rsidRPr="004A53D4" w:rsidRDefault="00000000">
      <w:pPr>
        <w:keepLines/>
        <w:spacing w:before="40" w:after="60" w:line="240" w:lineRule="auto"/>
        <w:rPr>
          <w:sz w:val="22"/>
          <w:szCs w:val="28"/>
        </w:rPr>
      </w:pPr>
      <w:r w:rsidRPr="004A53D4">
        <w:rPr>
          <w:b/>
          <w:color w:val="7A1F23"/>
          <w:sz w:val="24"/>
          <w:szCs w:val="28"/>
        </w:rPr>
        <w:t>Why this story remains urgent</w:t>
      </w:r>
    </w:p>
    <w:p w14:paraId="29FCD9F4" w14:textId="77777777" w:rsidR="00E75E2A" w:rsidRPr="004A53D4" w:rsidRDefault="00000000">
      <w:pPr>
        <w:spacing w:after="20"/>
        <w:rPr>
          <w:sz w:val="28"/>
          <w:szCs w:val="36"/>
        </w:rPr>
      </w:pPr>
      <w:r w:rsidRPr="004A53D4">
        <w:rPr>
          <w:color w:val="242424"/>
          <w:sz w:val="24"/>
          <w:szCs w:val="36"/>
        </w:rPr>
        <w:t>The book reaches beyond the fiftieth anniversary into the present. The Dublin and Monaghan murders are not simply a closed historical controversy: modern legacy bodies, national-security restrictions and disclosure rules still shape what the families and the public may ever be permitted to know.</w:t>
      </w:r>
    </w:p>
    <w:p w14:paraId="64424180" w14:textId="77777777" w:rsidR="00E75E2A" w:rsidRDefault="00000000">
      <w:r>
        <w:br w:type="page"/>
      </w:r>
    </w:p>
    <w:p w14:paraId="5CD7BFDD" w14:textId="77777777" w:rsidR="00E75E2A" w:rsidRDefault="00000000">
      <w:pPr>
        <w:keepLines/>
        <w:spacing w:after="40" w:line="240" w:lineRule="auto"/>
      </w:pPr>
      <w:r>
        <w:rPr>
          <w:b/>
          <w:color w:val="7A1F23"/>
          <w:sz w:val="17"/>
        </w:rPr>
        <w:lastRenderedPageBreak/>
        <w:t>ABOUT THE BOOK</w:t>
      </w:r>
    </w:p>
    <w:p w14:paraId="5BE85E7F" w14:textId="77777777" w:rsidR="00E75E2A" w:rsidRDefault="00000000">
      <w:pPr>
        <w:keepLines/>
        <w:pBdr>
          <w:bottom w:val="single" w:sz="8" w:space="4" w:color="7A1F23"/>
        </w:pBdr>
        <w:spacing w:after="160" w:line="240" w:lineRule="auto"/>
      </w:pPr>
      <w:r>
        <w:rPr>
          <w:rFonts w:ascii="Aptos Display" w:hAnsi="Aptos Display"/>
          <w:b/>
          <w:color w:val="242424"/>
          <w:sz w:val="40"/>
        </w:rPr>
        <w:t>The Author, Key Voices and the Complete Work</w:t>
      </w:r>
    </w:p>
    <w:p w14:paraId="7C7E0679" w14:textId="77777777" w:rsidR="00E75E2A" w:rsidRDefault="00000000">
      <w:pPr>
        <w:keepLines/>
        <w:spacing w:before="40" w:after="60" w:line="240" w:lineRule="auto"/>
      </w:pPr>
      <w:r>
        <w:rPr>
          <w:b/>
          <w:color w:val="7A1F23"/>
          <w:sz w:val="21"/>
        </w:rPr>
        <w:t>John O’Brien</w:t>
      </w:r>
    </w:p>
    <w:p w14:paraId="09CB5615" w14:textId="77777777" w:rsidR="00E75E2A" w:rsidRPr="004A53D4" w:rsidRDefault="00000000">
      <w:pPr>
        <w:spacing w:line="259" w:lineRule="auto"/>
        <w:rPr>
          <w:sz w:val="24"/>
          <w:szCs w:val="32"/>
        </w:rPr>
      </w:pPr>
      <w:r w:rsidRPr="004A53D4">
        <w:rPr>
          <w:color w:val="242424"/>
          <w:sz w:val="24"/>
          <w:szCs w:val="32"/>
        </w:rPr>
        <w:t>John O’Brien is a retired Detective Chief Superintendent of An Garda Síochána with more than thirty-eight years of service. His senior appointments included divisional command and national responsibility for Interpol and Europol liaison, state security, diplomatic protection, international police cooperation and witness protection. After retirement, he served as a Special Adviser to the Garda Síochána Ombudsman Commission.</w:t>
      </w:r>
    </w:p>
    <w:p w14:paraId="58B21C80" w14:textId="77777777" w:rsidR="00E75E2A" w:rsidRPr="004A53D4" w:rsidRDefault="00000000">
      <w:pPr>
        <w:spacing w:after="120" w:line="259" w:lineRule="auto"/>
        <w:rPr>
          <w:sz w:val="24"/>
          <w:szCs w:val="32"/>
        </w:rPr>
      </w:pPr>
      <w:r w:rsidRPr="004A53D4">
        <w:rPr>
          <w:color w:val="242424"/>
          <w:sz w:val="24"/>
          <w:szCs w:val="32"/>
        </w:rPr>
        <w:t>He holds an MSc with Distinction in Public Order Studies from the University of Leicester and is the author of A Question of Honour: Politics and Policing and Securing the Irish State. His professional background gives him both the authority to interrogate investigative failure and the discipline to distinguish evidence, intelligence, allegation and inference.</w:t>
      </w:r>
    </w:p>
    <w:tbl>
      <w:tblPr>
        <w:tblW w:w="0" w:type="auto"/>
        <w:jc w:val="center"/>
        <w:tblLayout w:type="fixed"/>
        <w:tblLook w:val="04A0" w:firstRow="1" w:lastRow="0" w:firstColumn="1" w:lastColumn="0" w:noHBand="0" w:noVBand="1"/>
      </w:tblPr>
      <w:tblGrid>
        <w:gridCol w:w="4592"/>
        <w:gridCol w:w="4592"/>
      </w:tblGrid>
      <w:tr w:rsidR="00E75E2A" w14:paraId="2F4FFE57" w14:textId="77777777">
        <w:trPr>
          <w:cantSplit/>
          <w:jc w:val="center"/>
        </w:trPr>
        <w:tc>
          <w:tcPr>
            <w:tcW w:w="4592" w:type="dxa"/>
            <w:tcBorders>
              <w:top w:val="single" w:sz="6" w:space="0" w:color="D8D0C4"/>
              <w:left w:val="single" w:sz="6" w:space="0" w:color="D8D0C4"/>
              <w:bottom w:val="single" w:sz="6" w:space="0" w:color="D8D0C4"/>
              <w:right w:val="single" w:sz="6" w:space="0" w:color="D8D0C4"/>
            </w:tcBorders>
            <w:shd w:val="clear" w:color="auto" w:fill="FAF8F4"/>
            <w:tcMar>
              <w:top w:w="130" w:type="dxa"/>
              <w:left w:w="170" w:type="dxa"/>
              <w:bottom w:w="120" w:type="dxa"/>
              <w:right w:w="170" w:type="dxa"/>
            </w:tcMar>
          </w:tcPr>
          <w:p w14:paraId="43FC2F2B" w14:textId="77777777" w:rsidR="00E75E2A" w:rsidRPr="0062404E" w:rsidRDefault="00000000">
            <w:pPr>
              <w:keepLines/>
              <w:spacing w:after="60" w:line="240" w:lineRule="auto"/>
              <w:rPr>
                <w:sz w:val="24"/>
                <w:szCs w:val="32"/>
              </w:rPr>
            </w:pPr>
            <w:r w:rsidRPr="0062404E">
              <w:rPr>
                <w:b/>
                <w:color w:val="7A1F23"/>
                <w:sz w:val="24"/>
                <w:szCs w:val="32"/>
              </w:rPr>
              <w:t>Foreword - Stephen Travers</w:t>
            </w:r>
          </w:p>
          <w:p w14:paraId="3CAA6834" w14:textId="77777777" w:rsidR="00E75E2A" w:rsidRPr="0062404E" w:rsidRDefault="00000000">
            <w:pPr>
              <w:keepLines/>
              <w:spacing w:after="0" w:line="250" w:lineRule="auto"/>
              <w:rPr>
                <w:sz w:val="24"/>
                <w:szCs w:val="32"/>
              </w:rPr>
            </w:pPr>
            <w:r w:rsidRPr="0062404E">
              <w:rPr>
                <w:color w:val="242424"/>
                <w:sz w:val="24"/>
                <w:szCs w:val="32"/>
              </w:rPr>
              <w:t>Author and survivor of the Miami Showband massacre. Travers highlights O’Brien’s courage, compassion and disciplined policing perspective.</w:t>
            </w:r>
          </w:p>
        </w:tc>
        <w:tc>
          <w:tcPr>
            <w:tcW w:w="4592" w:type="dxa"/>
            <w:tcBorders>
              <w:top w:val="single" w:sz="6" w:space="0" w:color="D8D0C4"/>
              <w:left w:val="single" w:sz="6" w:space="0" w:color="D8D0C4"/>
              <w:bottom w:val="single" w:sz="6" w:space="0" w:color="D8D0C4"/>
              <w:right w:val="single" w:sz="6" w:space="0" w:color="D8D0C4"/>
            </w:tcBorders>
            <w:shd w:val="clear" w:color="auto" w:fill="FAF8F4"/>
            <w:tcMar>
              <w:top w:w="130" w:type="dxa"/>
              <w:left w:w="170" w:type="dxa"/>
              <w:bottom w:w="120" w:type="dxa"/>
              <w:right w:w="170" w:type="dxa"/>
            </w:tcMar>
          </w:tcPr>
          <w:p w14:paraId="706C55B9" w14:textId="77777777" w:rsidR="00E75E2A" w:rsidRPr="0062404E" w:rsidRDefault="00000000">
            <w:pPr>
              <w:keepLines/>
              <w:spacing w:after="60" w:line="240" w:lineRule="auto"/>
              <w:rPr>
                <w:sz w:val="24"/>
                <w:szCs w:val="32"/>
              </w:rPr>
            </w:pPr>
            <w:r w:rsidRPr="0062404E">
              <w:rPr>
                <w:b/>
                <w:color w:val="7A1F23"/>
                <w:sz w:val="24"/>
                <w:szCs w:val="32"/>
              </w:rPr>
              <w:t>Afterword - Colin Wallace</w:t>
            </w:r>
          </w:p>
          <w:p w14:paraId="07219B50" w14:textId="77777777" w:rsidR="00E75E2A" w:rsidRPr="0062404E" w:rsidRDefault="00000000">
            <w:pPr>
              <w:keepLines/>
              <w:spacing w:after="0" w:line="250" w:lineRule="auto"/>
              <w:rPr>
                <w:sz w:val="24"/>
                <w:szCs w:val="32"/>
              </w:rPr>
            </w:pPr>
            <w:r w:rsidRPr="0062404E">
              <w:rPr>
                <w:color w:val="242424"/>
                <w:sz w:val="24"/>
                <w:szCs w:val="32"/>
              </w:rPr>
              <w:t>Former British Army information officer and UDR officer. Wallace argues that the full story of Dublin and Monaghan has yet to emerge.</w:t>
            </w:r>
          </w:p>
        </w:tc>
      </w:tr>
    </w:tbl>
    <w:p w14:paraId="2ADD24E0" w14:textId="77777777" w:rsidR="00E75E2A" w:rsidRDefault="00000000">
      <w:pPr>
        <w:keepLines/>
        <w:spacing w:before="40" w:after="60" w:line="240" w:lineRule="auto"/>
      </w:pPr>
      <w:r>
        <w:rPr>
          <w:b/>
          <w:color w:val="7A1F23"/>
          <w:sz w:val="21"/>
        </w:rPr>
        <w:t>Book details</w:t>
      </w:r>
    </w:p>
    <w:tbl>
      <w:tblPr>
        <w:tblW w:w="0" w:type="auto"/>
        <w:jc w:val="center"/>
        <w:tblLayout w:type="fixed"/>
        <w:tblLook w:val="04A0" w:firstRow="1" w:lastRow="0" w:firstColumn="1" w:lastColumn="0" w:noHBand="0" w:noVBand="1"/>
      </w:tblPr>
      <w:tblGrid>
        <w:gridCol w:w="1814"/>
        <w:gridCol w:w="7427"/>
      </w:tblGrid>
      <w:tr w:rsidR="00E75E2A" w14:paraId="2CA6FE76" w14:textId="77777777">
        <w:trPr>
          <w:cantSplit/>
          <w:jc w:val="center"/>
        </w:trPr>
        <w:tc>
          <w:tcPr>
            <w:tcW w:w="1814" w:type="dxa"/>
            <w:tcBorders>
              <w:top w:val="nil"/>
              <w:left w:val="nil"/>
              <w:bottom w:val="nil"/>
              <w:right w:val="nil"/>
            </w:tcBorders>
            <w:shd w:val="clear" w:color="auto" w:fill="7A1F23"/>
            <w:tcMar>
              <w:top w:w="85" w:type="dxa"/>
              <w:left w:w="120" w:type="dxa"/>
              <w:bottom w:w="80" w:type="dxa"/>
              <w:right w:w="120" w:type="dxa"/>
            </w:tcMar>
          </w:tcPr>
          <w:p w14:paraId="00DC73FB" w14:textId="77777777" w:rsidR="00E75E2A" w:rsidRDefault="00000000">
            <w:pPr>
              <w:keepLines/>
              <w:spacing w:after="0" w:line="240" w:lineRule="auto"/>
            </w:pPr>
            <w:r>
              <w:rPr>
                <w:b/>
                <w:color w:val="FFFFFF"/>
                <w:sz w:val="17"/>
              </w:rPr>
              <w:t>TITLE</w:t>
            </w:r>
          </w:p>
        </w:tc>
        <w:tc>
          <w:tcPr>
            <w:tcW w:w="7427" w:type="dxa"/>
            <w:tcBorders>
              <w:top w:val="nil"/>
              <w:left w:val="nil"/>
              <w:bottom w:val="nil"/>
              <w:right w:val="nil"/>
            </w:tcBorders>
            <w:shd w:val="clear" w:color="auto" w:fill="FAF8F4"/>
            <w:tcMar>
              <w:top w:w="85" w:type="dxa"/>
              <w:left w:w="140" w:type="dxa"/>
              <w:bottom w:w="80" w:type="dxa"/>
              <w:right w:w="140" w:type="dxa"/>
            </w:tcMar>
          </w:tcPr>
          <w:p w14:paraId="245A060E" w14:textId="77777777" w:rsidR="00E75E2A" w:rsidRPr="0062404E" w:rsidRDefault="00000000">
            <w:pPr>
              <w:keepLines/>
              <w:spacing w:after="0" w:line="247" w:lineRule="auto"/>
              <w:rPr>
                <w:sz w:val="24"/>
                <w:szCs w:val="36"/>
              </w:rPr>
            </w:pPr>
            <w:r w:rsidRPr="0062404E">
              <w:rPr>
                <w:color w:val="242424"/>
                <w:sz w:val="24"/>
                <w:szCs w:val="36"/>
              </w:rPr>
              <w:t>Conspiracy to Commit Mass Murder: Dublin and Monaghan Car Bombs, 17 May 1974</w:t>
            </w:r>
          </w:p>
        </w:tc>
      </w:tr>
      <w:tr w:rsidR="00E75E2A" w14:paraId="3899692D" w14:textId="77777777">
        <w:trPr>
          <w:cantSplit/>
          <w:jc w:val="center"/>
        </w:trPr>
        <w:tc>
          <w:tcPr>
            <w:tcW w:w="1814" w:type="dxa"/>
            <w:tcBorders>
              <w:top w:val="nil"/>
              <w:left w:val="nil"/>
              <w:bottom w:val="nil"/>
              <w:right w:val="nil"/>
            </w:tcBorders>
            <w:shd w:val="clear" w:color="auto" w:fill="242424"/>
            <w:tcMar>
              <w:top w:w="85" w:type="dxa"/>
              <w:left w:w="120" w:type="dxa"/>
              <w:bottom w:w="80" w:type="dxa"/>
              <w:right w:w="120" w:type="dxa"/>
            </w:tcMar>
          </w:tcPr>
          <w:p w14:paraId="1D7CBCC3" w14:textId="77777777" w:rsidR="00E75E2A" w:rsidRDefault="00000000">
            <w:pPr>
              <w:keepLines/>
              <w:spacing w:after="0" w:line="240" w:lineRule="auto"/>
            </w:pPr>
            <w:r>
              <w:rPr>
                <w:b/>
                <w:color w:val="FFFFFF"/>
                <w:sz w:val="17"/>
              </w:rPr>
              <w:t>SCALE</w:t>
            </w:r>
          </w:p>
        </w:tc>
        <w:tc>
          <w:tcPr>
            <w:tcW w:w="7427" w:type="dxa"/>
            <w:tcBorders>
              <w:top w:val="nil"/>
              <w:left w:val="nil"/>
              <w:bottom w:val="nil"/>
              <w:right w:val="nil"/>
            </w:tcBorders>
            <w:shd w:val="clear" w:color="auto" w:fill="F3EFE7"/>
            <w:tcMar>
              <w:top w:w="85" w:type="dxa"/>
              <w:left w:w="140" w:type="dxa"/>
              <w:bottom w:w="80" w:type="dxa"/>
              <w:right w:w="140" w:type="dxa"/>
            </w:tcMar>
          </w:tcPr>
          <w:p w14:paraId="55625666" w14:textId="77777777" w:rsidR="00E75E2A" w:rsidRPr="0062404E" w:rsidRDefault="00000000">
            <w:pPr>
              <w:keepLines/>
              <w:spacing w:after="0" w:line="247" w:lineRule="auto"/>
              <w:rPr>
                <w:sz w:val="24"/>
                <w:szCs w:val="36"/>
              </w:rPr>
            </w:pPr>
            <w:r w:rsidRPr="0062404E">
              <w:rPr>
                <w:color w:val="242424"/>
                <w:sz w:val="24"/>
                <w:szCs w:val="36"/>
              </w:rPr>
              <w:t>Approximately 118,000 words; 335 pages</w:t>
            </w:r>
          </w:p>
        </w:tc>
      </w:tr>
      <w:tr w:rsidR="00E75E2A" w14:paraId="52EB719B" w14:textId="77777777">
        <w:trPr>
          <w:cantSplit/>
          <w:jc w:val="center"/>
        </w:trPr>
        <w:tc>
          <w:tcPr>
            <w:tcW w:w="1814" w:type="dxa"/>
            <w:tcBorders>
              <w:top w:val="nil"/>
              <w:left w:val="nil"/>
              <w:bottom w:val="nil"/>
              <w:right w:val="nil"/>
            </w:tcBorders>
            <w:shd w:val="clear" w:color="auto" w:fill="7A1F23"/>
            <w:tcMar>
              <w:top w:w="85" w:type="dxa"/>
              <w:left w:w="120" w:type="dxa"/>
              <w:bottom w:w="80" w:type="dxa"/>
              <w:right w:w="120" w:type="dxa"/>
            </w:tcMar>
          </w:tcPr>
          <w:p w14:paraId="7064A488" w14:textId="77777777" w:rsidR="00E75E2A" w:rsidRDefault="00000000">
            <w:pPr>
              <w:keepLines/>
              <w:spacing w:after="0" w:line="240" w:lineRule="auto"/>
            </w:pPr>
            <w:r>
              <w:rPr>
                <w:b/>
                <w:color w:val="FFFFFF"/>
                <w:sz w:val="17"/>
              </w:rPr>
              <w:t>STRUCTURE</w:t>
            </w:r>
          </w:p>
        </w:tc>
        <w:tc>
          <w:tcPr>
            <w:tcW w:w="7427" w:type="dxa"/>
            <w:tcBorders>
              <w:top w:val="nil"/>
              <w:left w:val="nil"/>
              <w:bottom w:val="nil"/>
              <w:right w:val="nil"/>
            </w:tcBorders>
            <w:shd w:val="clear" w:color="auto" w:fill="FAF8F4"/>
            <w:tcMar>
              <w:top w:w="85" w:type="dxa"/>
              <w:left w:w="140" w:type="dxa"/>
              <w:bottom w:w="80" w:type="dxa"/>
              <w:right w:w="140" w:type="dxa"/>
            </w:tcMar>
          </w:tcPr>
          <w:p w14:paraId="6008F6A8" w14:textId="4DDC3781" w:rsidR="00E75E2A" w:rsidRPr="0062404E" w:rsidRDefault="00000000">
            <w:pPr>
              <w:keepLines/>
              <w:spacing w:after="0" w:line="247" w:lineRule="auto"/>
              <w:rPr>
                <w:sz w:val="24"/>
                <w:szCs w:val="36"/>
              </w:rPr>
            </w:pPr>
            <w:r w:rsidRPr="0062404E">
              <w:rPr>
                <w:color w:val="242424"/>
                <w:sz w:val="24"/>
                <w:szCs w:val="36"/>
              </w:rPr>
              <w:t>Foreword, prologue, 57 chapters, epilogue, afterword and eight appendices</w:t>
            </w:r>
            <w:r w:rsidR="0062404E">
              <w:rPr>
                <w:color w:val="242424"/>
                <w:sz w:val="24"/>
                <w:szCs w:val="36"/>
              </w:rPr>
              <w:t xml:space="preserve"> and Indexes</w:t>
            </w:r>
          </w:p>
        </w:tc>
      </w:tr>
      <w:tr w:rsidR="00E75E2A" w14:paraId="240EAE6E" w14:textId="77777777">
        <w:trPr>
          <w:cantSplit/>
          <w:jc w:val="center"/>
        </w:trPr>
        <w:tc>
          <w:tcPr>
            <w:tcW w:w="1814" w:type="dxa"/>
            <w:tcBorders>
              <w:top w:val="nil"/>
              <w:left w:val="nil"/>
              <w:bottom w:val="nil"/>
              <w:right w:val="nil"/>
            </w:tcBorders>
            <w:shd w:val="clear" w:color="auto" w:fill="242424"/>
            <w:tcMar>
              <w:top w:w="85" w:type="dxa"/>
              <w:left w:w="120" w:type="dxa"/>
              <w:bottom w:w="80" w:type="dxa"/>
              <w:right w:w="120" w:type="dxa"/>
            </w:tcMar>
          </w:tcPr>
          <w:p w14:paraId="2D723AB3" w14:textId="77777777" w:rsidR="00E75E2A" w:rsidRDefault="00000000">
            <w:pPr>
              <w:keepLines/>
              <w:spacing w:after="0" w:line="240" w:lineRule="auto"/>
            </w:pPr>
            <w:r>
              <w:rPr>
                <w:b/>
                <w:color w:val="FFFFFF"/>
                <w:sz w:val="17"/>
              </w:rPr>
              <w:t>FEATURES</w:t>
            </w:r>
          </w:p>
        </w:tc>
        <w:tc>
          <w:tcPr>
            <w:tcW w:w="7427" w:type="dxa"/>
            <w:tcBorders>
              <w:top w:val="nil"/>
              <w:left w:val="nil"/>
              <w:bottom w:val="nil"/>
              <w:right w:val="nil"/>
            </w:tcBorders>
            <w:shd w:val="clear" w:color="auto" w:fill="F3EFE7"/>
            <w:tcMar>
              <w:top w:w="85" w:type="dxa"/>
              <w:left w:w="140" w:type="dxa"/>
              <w:bottom w:w="80" w:type="dxa"/>
              <w:right w:w="140" w:type="dxa"/>
            </w:tcMar>
          </w:tcPr>
          <w:p w14:paraId="1242B461" w14:textId="77777777" w:rsidR="00E75E2A" w:rsidRPr="0062404E" w:rsidRDefault="00000000">
            <w:pPr>
              <w:keepLines/>
              <w:spacing w:after="0" w:line="247" w:lineRule="auto"/>
              <w:rPr>
                <w:sz w:val="24"/>
                <w:szCs w:val="36"/>
              </w:rPr>
            </w:pPr>
            <w:r w:rsidRPr="0062404E">
              <w:rPr>
                <w:color w:val="242424"/>
                <w:sz w:val="24"/>
                <w:szCs w:val="36"/>
              </w:rPr>
              <w:t>Photographs, documentary exhibits, diagrams, tables, source notes and eyewitness testimony</w:t>
            </w:r>
          </w:p>
        </w:tc>
      </w:tr>
    </w:tbl>
    <w:p w14:paraId="6246667C" w14:textId="77777777" w:rsidR="00E75E2A" w:rsidRPr="0062404E" w:rsidRDefault="00000000">
      <w:pPr>
        <w:keepLines/>
        <w:spacing w:before="40" w:after="60" w:line="240" w:lineRule="auto"/>
        <w:rPr>
          <w:sz w:val="22"/>
          <w:szCs w:val="28"/>
        </w:rPr>
      </w:pPr>
      <w:r w:rsidRPr="0062404E">
        <w:rPr>
          <w:b/>
          <w:color w:val="7A1F23"/>
          <w:sz w:val="24"/>
          <w:szCs w:val="28"/>
        </w:rPr>
        <w:t>A complete, illustrated investigation</w:t>
      </w:r>
    </w:p>
    <w:p w14:paraId="41D6898D" w14:textId="77777777" w:rsidR="00E75E2A" w:rsidRPr="0062404E" w:rsidRDefault="00000000">
      <w:pPr>
        <w:pStyle w:val="ListBullet"/>
        <w:keepLines/>
        <w:spacing w:after="40" w:line="250" w:lineRule="auto"/>
        <w:ind w:left="255" w:hanging="125"/>
        <w:rPr>
          <w:sz w:val="24"/>
          <w:szCs w:val="36"/>
        </w:rPr>
      </w:pPr>
      <w:r w:rsidRPr="0062404E">
        <w:rPr>
          <w:color w:val="242424"/>
          <w:sz w:val="24"/>
          <w:szCs w:val="36"/>
        </w:rPr>
        <w:t>A full account of the attacks, their political background and the original investigation.</w:t>
      </w:r>
    </w:p>
    <w:p w14:paraId="5E67AC47" w14:textId="77777777" w:rsidR="00E75E2A" w:rsidRPr="0062404E" w:rsidRDefault="00000000">
      <w:pPr>
        <w:pStyle w:val="ListBullet"/>
        <w:keepLines/>
        <w:spacing w:after="40" w:line="250" w:lineRule="auto"/>
        <w:ind w:left="255" w:hanging="125"/>
        <w:rPr>
          <w:sz w:val="24"/>
          <w:szCs w:val="36"/>
        </w:rPr>
      </w:pPr>
      <w:r w:rsidRPr="0062404E">
        <w:rPr>
          <w:color w:val="242424"/>
          <w:sz w:val="24"/>
          <w:szCs w:val="36"/>
        </w:rPr>
        <w:t>A forensic examination of bombing capability, intelligence knowledge and institutional response.</w:t>
      </w:r>
    </w:p>
    <w:p w14:paraId="4A4919A0" w14:textId="77777777" w:rsidR="00E75E2A" w:rsidRPr="0062404E" w:rsidRDefault="00000000">
      <w:pPr>
        <w:pStyle w:val="ListBullet"/>
        <w:keepLines/>
        <w:spacing w:after="40" w:line="250" w:lineRule="auto"/>
        <w:ind w:left="255" w:hanging="125"/>
        <w:rPr>
          <w:sz w:val="24"/>
          <w:szCs w:val="36"/>
        </w:rPr>
      </w:pPr>
      <w:r w:rsidRPr="0062404E">
        <w:rPr>
          <w:color w:val="242424"/>
          <w:sz w:val="24"/>
          <w:szCs w:val="36"/>
        </w:rPr>
        <w:t>Eyewitness testimony, survivor perspectives and the voices of those who continued the search for truth.</w:t>
      </w:r>
    </w:p>
    <w:p w14:paraId="7168F64C" w14:textId="77777777" w:rsidR="00E75E2A" w:rsidRPr="0062404E" w:rsidRDefault="00000000">
      <w:pPr>
        <w:pStyle w:val="ListBullet"/>
        <w:keepLines/>
        <w:spacing w:after="40" w:line="250" w:lineRule="auto"/>
        <w:ind w:left="255" w:hanging="125"/>
        <w:rPr>
          <w:sz w:val="24"/>
          <w:szCs w:val="36"/>
        </w:rPr>
      </w:pPr>
      <w:r w:rsidRPr="0062404E">
        <w:rPr>
          <w:color w:val="242424"/>
          <w:sz w:val="24"/>
          <w:szCs w:val="36"/>
        </w:rPr>
        <w:t>Photographs, documentary material, diagrams, tables, source notes and detailed appendices.</w:t>
      </w:r>
    </w:p>
    <w:tbl>
      <w:tblPr>
        <w:tblW w:w="0" w:type="auto"/>
        <w:jc w:val="center"/>
        <w:tblLook w:val="04A0" w:firstRow="1" w:lastRow="0" w:firstColumn="1" w:lastColumn="0" w:noHBand="0" w:noVBand="1"/>
      </w:tblPr>
      <w:tblGrid>
        <w:gridCol w:w="10148"/>
      </w:tblGrid>
      <w:tr w:rsidR="00E75E2A" w14:paraId="65DF8484" w14:textId="77777777">
        <w:trPr>
          <w:cantSplit/>
          <w:jc w:val="center"/>
        </w:trPr>
        <w:tc>
          <w:tcPr>
            <w:tcW w:w="10148" w:type="dxa"/>
            <w:shd w:val="clear" w:color="auto" w:fill="242424"/>
            <w:tcMar>
              <w:top w:w="150" w:type="dxa"/>
              <w:left w:w="230" w:type="dxa"/>
              <w:bottom w:w="145" w:type="dxa"/>
              <w:right w:w="230" w:type="dxa"/>
            </w:tcMar>
          </w:tcPr>
          <w:p w14:paraId="62BDC661" w14:textId="77777777" w:rsidR="00E75E2A" w:rsidRPr="0062404E" w:rsidRDefault="00000000">
            <w:pPr>
              <w:keepLines/>
              <w:spacing w:after="80" w:line="252" w:lineRule="auto"/>
              <w:jc w:val="center"/>
              <w:rPr>
                <w:sz w:val="28"/>
                <w:szCs w:val="44"/>
              </w:rPr>
            </w:pPr>
            <w:r w:rsidRPr="0062404E">
              <w:rPr>
                <w:b/>
                <w:color w:val="B08A45"/>
                <w:sz w:val="28"/>
                <w:szCs w:val="44"/>
              </w:rPr>
              <w:t>THE CENTRAL PROMISE</w:t>
            </w:r>
          </w:p>
          <w:p w14:paraId="25707259" w14:textId="77777777" w:rsidR="00E75E2A" w:rsidRPr="0062404E" w:rsidRDefault="00000000">
            <w:pPr>
              <w:keepLines/>
              <w:spacing w:after="0"/>
              <w:jc w:val="center"/>
              <w:rPr>
                <w:sz w:val="28"/>
                <w:szCs w:val="44"/>
              </w:rPr>
            </w:pPr>
            <w:r w:rsidRPr="0062404E">
              <w:rPr>
                <w:rFonts w:ascii="Georgia" w:hAnsi="Georgia"/>
                <w:i/>
                <w:color w:val="FFFFFF"/>
                <w:sz w:val="28"/>
                <w:szCs w:val="44"/>
              </w:rPr>
              <w:t>This is not another general history of the Troubles. It is a concentrated investigation of the deadliest day of the conflict: a human tragedy, an unresolved criminal conspiracy and a continuing test of what democratic states do when the truth threatens powerful institutions.</w:t>
            </w:r>
          </w:p>
        </w:tc>
      </w:tr>
    </w:tbl>
    <w:p w14:paraId="4AEBA108" w14:textId="77777777" w:rsidR="00E75E2A" w:rsidRDefault="00000000">
      <w:pPr>
        <w:keepLines/>
        <w:spacing w:before="160" w:after="20" w:line="240" w:lineRule="auto"/>
        <w:jc w:val="center"/>
        <w:rPr>
          <w:b/>
          <w:color w:val="7A1F23"/>
          <w:sz w:val="16"/>
        </w:rPr>
      </w:pPr>
      <w:r>
        <w:rPr>
          <w:b/>
          <w:color w:val="7A1F23"/>
          <w:sz w:val="16"/>
        </w:rPr>
        <w:t>AUTHOR CONTACT</w:t>
      </w:r>
    </w:p>
    <w:p w14:paraId="4198173A" w14:textId="77777777" w:rsidR="000D4D56" w:rsidRDefault="000D4D56">
      <w:pPr>
        <w:keepLines/>
        <w:spacing w:before="160" w:after="20" w:line="240" w:lineRule="auto"/>
        <w:jc w:val="center"/>
      </w:pPr>
    </w:p>
    <w:p w14:paraId="4C8D8B05" w14:textId="241B54ED" w:rsidR="00E75E2A" w:rsidRDefault="00000000">
      <w:pPr>
        <w:keepLines/>
        <w:spacing w:after="0" w:line="240" w:lineRule="auto"/>
        <w:jc w:val="center"/>
      </w:pPr>
      <w:r>
        <w:rPr>
          <w:color w:val="242424"/>
          <w:sz w:val="18"/>
        </w:rPr>
        <w:t>John O’Brien   |   Email: ______________________________    Telephone: ___</w:t>
      </w:r>
      <w:r w:rsidR="006E6F94">
        <w:rPr>
          <w:color w:val="242424"/>
          <w:sz w:val="18"/>
        </w:rPr>
        <w:t>0872644664</w:t>
      </w:r>
    </w:p>
    <w:sectPr w:rsidR="00E75E2A" w:rsidSect="00034616">
      <w:footerReference w:type="default" r:id="rId9"/>
      <w:pgSz w:w="11906" w:h="16838"/>
      <w:pgMar w:top="765" w:right="879" w:bottom="765" w:left="87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643E" w14:textId="77777777" w:rsidR="00FB7D32" w:rsidRDefault="00FB7D32">
      <w:pPr>
        <w:spacing w:after="0" w:line="240" w:lineRule="auto"/>
      </w:pPr>
      <w:r>
        <w:separator/>
      </w:r>
    </w:p>
  </w:endnote>
  <w:endnote w:type="continuationSeparator" w:id="0">
    <w:p w14:paraId="0A5CC22F" w14:textId="77777777" w:rsidR="00FB7D32" w:rsidRDefault="00FB7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B1F76" w14:textId="77777777" w:rsidR="00E75E2A" w:rsidRDefault="00000000">
    <w:pPr>
      <w:pStyle w:val="Footer"/>
      <w:keepLines/>
      <w:spacing w:before="60"/>
      <w:jc w:val="center"/>
    </w:pPr>
    <w:r>
      <w:rPr>
        <w:color w:val="5D5D5D"/>
        <w:sz w:val="16"/>
      </w:rPr>
      <w:t xml:space="preserve">BOOK PRESENTATION   |   JOHN O’BRIEN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9F7FC" w14:textId="77777777" w:rsidR="00FB7D32" w:rsidRDefault="00FB7D32">
      <w:pPr>
        <w:spacing w:after="0" w:line="240" w:lineRule="auto"/>
      </w:pPr>
      <w:r>
        <w:separator/>
      </w:r>
    </w:p>
  </w:footnote>
  <w:footnote w:type="continuationSeparator" w:id="0">
    <w:p w14:paraId="451C9127" w14:textId="77777777" w:rsidR="00FB7D32" w:rsidRDefault="00FB7D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92143A"/>
    <w:multiLevelType w:val="multilevel"/>
    <w:tmpl w:val="4D4CB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D1603E"/>
    <w:multiLevelType w:val="multilevel"/>
    <w:tmpl w:val="0B30B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436B73"/>
    <w:multiLevelType w:val="multilevel"/>
    <w:tmpl w:val="BBE8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3690D"/>
    <w:multiLevelType w:val="multilevel"/>
    <w:tmpl w:val="EC08B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9695C89"/>
    <w:multiLevelType w:val="multilevel"/>
    <w:tmpl w:val="8D6E4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A437672"/>
    <w:multiLevelType w:val="multilevel"/>
    <w:tmpl w:val="6A4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2E6BC1"/>
    <w:multiLevelType w:val="multilevel"/>
    <w:tmpl w:val="5198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4150E9F"/>
    <w:multiLevelType w:val="multilevel"/>
    <w:tmpl w:val="2644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3311434">
    <w:abstractNumId w:val="8"/>
  </w:num>
  <w:num w:numId="2" w16cid:durableId="1836144714">
    <w:abstractNumId w:val="6"/>
  </w:num>
  <w:num w:numId="3" w16cid:durableId="5905671">
    <w:abstractNumId w:val="5"/>
  </w:num>
  <w:num w:numId="4" w16cid:durableId="612134272">
    <w:abstractNumId w:val="4"/>
  </w:num>
  <w:num w:numId="5" w16cid:durableId="1122461078">
    <w:abstractNumId w:val="7"/>
  </w:num>
  <w:num w:numId="6" w16cid:durableId="525631109">
    <w:abstractNumId w:val="3"/>
  </w:num>
  <w:num w:numId="7" w16cid:durableId="975915441">
    <w:abstractNumId w:val="2"/>
  </w:num>
  <w:num w:numId="8" w16cid:durableId="72548855">
    <w:abstractNumId w:val="1"/>
  </w:num>
  <w:num w:numId="9" w16cid:durableId="1396854415">
    <w:abstractNumId w:val="0"/>
  </w:num>
  <w:num w:numId="10" w16cid:durableId="562638109">
    <w:abstractNumId w:val="13"/>
  </w:num>
  <w:num w:numId="11" w16cid:durableId="1270814342">
    <w:abstractNumId w:val="11"/>
  </w:num>
  <w:num w:numId="12" w16cid:durableId="1516964736">
    <w:abstractNumId w:val="9"/>
  </w:num>
  <w:num w:numId="13" w16cid:durableId="1496842950">
    <w:abstractNumId w:val="16"/>
  </w:num>
  <w:num w:numId="14" w16cid:durableId="1555045694">
    <w:abstractNumId w:val="12"/>
  </w:num>
  <w:num w:numId="15" w16cid:durableId="884021015">
    <w:abstractNumId w:val="14"/>
  </w:num>
  <w:num w:numId="16" w16cid:durableId="1195343652">
    <w:abstractNumId w:val="15"/>
  </w:num>
  <w:num w:numId="17" w16cid:durableId="6410787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AF6"/>
    <w:rsid w:val="00002555"/>
    <w:rsid w:val="00034616"/>
    <w:rsid w:val="00050D79"/>
    <w:rsid w:val="0006063C"/>
    <w:rsid w:val="000644DA"/>
    <w:rsid w:val="000D4D56"/>
    <w:rsid w:val="0015074B"/>
    <w:rsid w:val="00195A65"/>
    <w:rsid w:val="001F7F88"/>
    <w:rsid w:val="0029639D"/>
    <w:rsid w:val="00326F90"/>
    <w:rsid w:val="00351354"/>
    <w:rsid w:val="00361128"/>
    <w:rsid w:val="004537DC"/>
    <w:rsid w:val="00461086"/>
    <w:rsid w:val="004A53D4"/>
    <w:rsid w:val="004E0947"/>
    <w:rsid w:val="00543BC3"/>
    <w:rsid w:val="005F0874"/>
    <w:rsid w:val="0062404E"/>
    <w:rsid w:val="006311AC"/>
    <w:rsid w:val="006415BA"/>
    <w:rsid w:val="00642553"/>
    <w:rsid w:val="00685A24"/>
    <w:rsid w:val="006E6F94"/>
    <w:rsid w:val="00804D46"/>
    <w:rsid w:val="00992508"/>
    <w:rsid w:val="009D40D1"/>
    <w:rsid w:val="00AA1D8D"/>
    <w:rsid w:val="00B47730"/>
    <w:rsid w:val="00B72A82"/>
    <w:rsid w:val="00B82254"/>
    <w:rsid w:val="00BC3F77"/>
    <w:rsid w:val="00C151A7"/>
    <w:rsid w:val="00CB0664"/>
    <w:rsid w:val="00D01C05"/>
    <w:rsid w:val="00D5107F"/>
    <w:rsid w:val="00D6249F"/>
    <w:rsid w:val="00DD00B6"/>
    <w:rsid w:val="00E75E2A"/>
    <w:rsid w:val="00EB5DAB"/>
    <w:rsid w:val="00EC7628"/>
    <w:rsid w:val="00FB7D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9FE8AE"/>
  <w14:defaultImageDpi w14:val="300"/>
  <w15:docId w15:val="{09D833AC-D357-164C-BCDE-F891F7C5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7"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Pages>
  <Words>1522</Words>
  <Characters>9208</Characters>
  <Application>Microsoft Office Word</Application>
  <DocSecurity>0</DocSecurity>
  <Lines>249</Lines>
  <Paragraphs>123</Paragraphs>
  <ScaleCrop>false</ScaleCrop>
  <HeadingPairs>
    <vt:vector size="2" baseType="variant">
      <vt:variant>
        <vt:lpstr>Title</vt:lpstr>
      </vt:variant>
      <vt:variant>
        <vt:i4>1</vt:i4>
      </vt:variant>
    </vt:vector>
  </HeadingPairs>
  <TitlesOfParts>
    <vt:vector size="1" baseType="lpstr">
      <vt:lpstr>Conspiracy to Commit Mass Murder - Publisher Pitch</vt:lpstr>
    </vt:vector>
  </TitlesOfParts>
  <Manager/>
  <Company/>
  <LinksUpToDate>false</LinksUpToDate>
  <CharactersWithSpaces>10650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Conspiracy to Commit Mass Murder - Publisher Pitch</dc:title>
  <dc:subject>Publisher presentation for John O’Brien’s manuscript</dc:subject>
  <dc:creator>John O’Brien</dc:creator>
  <cp:keywords>Dublin Monaghan bombings, Troubles, investigative history, publisher pitch</cp:keywords>
  <dc:description>Prepared as an editable publisher presentation.</dc:description>
  <cp:lastModifiedBy>John OBrien</cp:lastModifiedBy>
  <cp:revision>14</cp:revision>
  <cp:lastPrinted>2026-08-01T11:08:00Z</cp:lastPrinted>
  <dcterms:created xsi:type="dcterms:W3CDTF">2026-07-31T14:00:00Z</dcterms:created>
  <dcterms:modified xsi:type="dcterms:W3CDTF">2026-08-31T19:27:00Z</dcterms:modified>
  <cp:category/>
</cp:coreProperties>
</file>